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31CA7" w14:textId="0CEB6E6D" w:rsidR="00680194" w:rsidRDefault="00680194" w:rsidP="00D1777A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 w:cs="Times New Roman"/>
        </w:rPr>
        <w:t>Troisième communication</w:t>
      </w:r>
    </w:p>
    <w:p w14:paraId="5C973AA4" w14:textId="77777777" w:rsidR="00680194" w:rsidRDefault="00680194" w:rsidP="00D1777A">
      <w:pPr>
        <w:jc w:val="both"/>
        <w:rPr>
          <w:rFonts w:ascii="Arial" w:hAnsi="Arial"/>
          <w:sz w:val="22"/>
          <w:szCs w:val="22"/>
        </w:rPr>
      </w:pPr>
    </w:p>
    <w:p w14:paraId="10FB7B55" w14:textId="0603D88D" w:rsidR="00D1777A" w:rsidRPr="00D1777A" w:rsidRDefault="00A51010" w:rsidP="00D1777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« </w:t>
      </w:r>
      <w:bookmarkStart w:id="0" w:name="_GoBack"/>
      <w:r>
        <w:rPr>
          <w:rFonts w:ascii="Arial" w:hAnsi="Arial"/>
          <w:sz w:val="22"/>
          <w:szCs w:val="22"/>
        </w:rPr>
        <w:t>I</w:t>
      </w:r>
      <w:r w:rsidR="00D1777A" w:rsidRPr="00D1777A">
        <w:rPr>
          <w:rFonts w:ascii="Arial" w:hAnsi="Arial"/>
          <w:bCs/>
          <w:sz w:val="22"/>
          <w:szCs w:val="22"/>
        </w:rPr>
        <w:t>nteractions sur tablettes numériques</w:t>
      </w:r>
      <w:r>
        <w:rPr>
          <w:rFonts w:ascii="Arial" w:hAnsi="Arial"/>
          <w:bCs/>
          <w:sz w:val="22"/>
          <w:szCs w:val="22"/>
        </w:rPr>
        <w:t> : un facilitateur</w:t>
      </w:r>
      <w:r w:rsidR="00D1777A" w:rsidRPr="00D1777A">
        <w:rPr>
          <w:rFonts w:ascii="Arial" w:hAnsi="Arial"/>
          <w:bCs/>
          <w:sz w:val="22"/>
          <w:szCs w:val="22"/>
        </w:rPr>
        <w:t xml:space="preserve"> dans</w:t>
      </w:r>
      <w:r>
        <w:rPr>
          <w:rFonts w:ascii="Arial" w:hAnsi="Arial"/>
          <w:bCs/>
          <w:sz w:val="22"/>
          <w:szCs w:val="22"/>
        </w:rPr>
        <w:t xml:space="preserve"> les processus d</w:t>
      </w:r>
      <w:r w:rsidR="00D1777A" w:rsidRPr="00D1777A">
        <w:rPr>
          <w:rFonts w:ascii="Arial" w:hAnsi="Arial"/>
          <w:bCs/>
          <w:sz w:val="22"/>
          <w:szCs w:val="22"/>
        </w:rPr>
        <w:t>’apprentissage de la géométrie dans l’espace</w:t>
      </w:r>
      <w:bookmarkEnd w:id="0"/>
      <w:r w:rsidR="00D1777A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> »</w:t>
      </w:r>
    </w:p>
    <w:p w14:paraId="1AB72F78" w14:textId="77777777" w:rsidR="005005CC" w:rsidRDefault="005005CC" w:rsidP="00F65A05">
      <w:pPr>
        <w:jc w:val="both"/>
        <w:rPr>
          <w:rFonts w:ascii="Arial" w:hAnsi="Arial"/>
          <w:sz w:val="22"/>
          <w:szCs w:val="22"/>
        </w:rPr>
      </w:pPr>
    </w:p>
    <w:p w14:paraId="4CDCC9C9" w14:textId="77777777" w:rsidR="00F754A8" w:rsidRDefault="00F754A8" w:rsidP="00F65A05">
      <w:pPr>
        <w:jc w:val="both"/>
        <w:rPr>
          <w:rFonts w:ascii="Arial" w:hAnsi="Arial"/>
          <w:sz w:val="22"/>
          <w:szCs w:val="22"/>
        </w:rPr>
        <w:sectPr w:rsidR="00F754A8" w:rsidSect="0034247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7066301" w14:textId="77777777" w:rsidR="00F65A05" w:rsidRDefault="00F65A05" w:rsidP="00F65A05">
      <w:pPr>
        <w:jc w:val="both"/>
        <w:rPr>
          <w:rFonts w:ascii="Arial" w:hAnsi="Arial"/>
          <w:sz w:val="22"/>
          <w:szCs w:val="22"/>
        </w:rPr>
      </w:pPr>
    </w:p>
    <w:p w14:paraId="4B11201D" w14:textId="3EF7FB8D" w:rsidR="00F65A05" w:rsidRPr="00D1777A" w:rsidRDefault="00F65A05" w:rsidP="00F65A05">
      <w:pPr>
        <w:jc w:val="both"/>
        <w:rPr>
          <w:rFonts w:ascii="Arial" w:hAnsi="Arial"/>
          <w:b/>
          <w:sz w:val="22"/>
          <w:szCs w:val="22"/>
        </w:rPr>
      </w:pPr>
      <w:r w:rsidRPr="00D1777A">
        <w:rPr>
          <w:rFonts w:ascii="Arial" w:hAnsi="Arial"/>
          <w:b/>
          <w:sz w:val="22"/>
          <w:szCs w:val="22"/>
        </w:rPr>
        <w:t>Résumé :</w:t>
      </w:r>
    </w:p>
    <w:p w14:paraId="6B09D106" w14:textId="77777777" w:rsidR="00F65A05" w:rsidRDefault="00F65A05" w:rsidP="00F65A05">
      <w:pPr>
        <w:jc w:val="both"/>
        <w:rPr>
          <w:rFonts w:ascii="Arial" w:hAnsi="Arial"/>
          <w:sz w:val="22"/>
          <w:szCs w:val="22"/>
        </w:rPr>
      </w:pPr>
    </w:p>
    <w:p w14:paraId="17B5F805" w14:textId="77777777" w:rsidR="00004425" w:rsidRPr="00F65A05" w:rsidRDefault="00004425" w:rsidP="00004425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 w:rsidRPr="00F65A05">
        <w:rPr>
          <w:rFonts w:ascii="Arial" w:hAnsi="Arial"/>
          <w:sz w:val="22"/>
          <w:szCs w:val="22"/>
        </w:rPr>
        <w:t>es terminaux mobiles</w:t>
      </w:r>
      <w:r>
        <w:rPr>
          <w:rFonts w:ascii="Arial" w:hAnsi="Arial"/>
          <w:sz w:val="22"/>
          <w:szCs w:val="22"/>
        </w:rPr>
        <w:t xml:space="preserve"> (</w:t>
      </w:r>
      <w:r w:rsidRPr="00F65A05">
        <w:rPr>
          <w:rFonts w:ascii="Arial" w:hAnsi="Arial"/>
          <w:sz w:val="22"/>
          <w:szCs w:val="22"/>
        </w:rPr>
        <w:t>smartphones</w:t>
      </w:r>
      <w:r>
        <w:rPr>
          <w:rFonts w:ascii="Arial" w:hAnsi="Arial"/>
          <w:sz w:val="22"/>
          <w:szCs w:val="22"/>
        </w:rPr>
        <w:t xml:space="preserve">, </w:t>
      </w:r>
      <w:r w:rsidRPr="00F65A05">
        <w:rPr>
          <w:rFonts w:ascii="Arial" w:hAnsi="Arial"/>
          <w:sz w:val="22"/>
          <w:szCs w:val="22"/>
        </w:rPr>
        <w:t>tablettes numériques</w:t>
      </w:r>
      <w:r>
        <w:rPr>
          <w:rFonts w:ascii="Arial" w:hAnsi="Arial"/>
          <w:sz w:val="22"/>
          <w:szCs w:val="22"/>
        </w:rPr>
        <w:t>,...)</w:t>
      </w:r>
      <w:r w:rsidRPr="00F65A05">
        <w:rPr>
          <w:rFonts w:ascii="Arial" w:hAnsi="Arial"/>
          <w:sz w:val="22"/>
          <w:szCs w:val="22"/>
        </w:rPr>
        <w:t xml:space="preserve"> sont </w:t>
      </w:r>
      <w:r>
        <w:rPr>
          <w:rFonts w:ascii="Arial" w:hAnsi="Arial"/>
          <w:sz w:val="22"/>
          <w:szCs w:val="22"/>
        </w:rPr>
        <w:t>devenus communs</w:t>
      </w:r>
      <w:r w:rsidRPr="00F65A05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De plus en plus complets technologiquement, ils</w:t>
      </w:r>
      <w:r w:rsidRPr="00F65A05">
        <w:rPr>
          <w:rFonts w:ascii="Arial" w:hAnsi="Arial"/>
          <w:sz w:val="22"/>
          <w:szCs w:val="22"/>
        </w:rPr>
        <w:t xml:space="preserve"> ont intégrés de nombreux capteurs (gyroscope, accéléromètre, compas électronique,</w:t>
      </w:r>
      <w:r>
        <w:rPr>
          <w:rFonts w:ascii="Arial" w:hAnsi="Arial"/>
          <w:sz w:val="22"/>
          <w:szCs w:val="22"/>
        </w:rPr>
        <w:t xml:space="preserve"> pression,</w:t>
      </w:r>
      <w:r w:rsidRPr="00F65A05">
        <w:rPr>
          <w:rFonts w:ascii="Arial" w:hAnsi="Arial"/>
          <w:sz w:val="22"/>
          <w:szCs w:val="22"/>
        </w:rPr>
        <w:t xml:space="preserve">…) et des caméras, permettant d’imaginer et d’explorer de nouvelles techniques </w:t>
      </w:r>
      <w:r>
        <w:rPr>
          <w:rFonts w:ascii="Arial" w:hAnsi="Arial"/>
          <w:sz w:val="22"/>
          <w:szCs w:val="22"/>
        </w:rPr>
        <w:t>d’interactions. De nombreuses institutions scolaires et de nombreux</w:t>
      </w:r>
      <w:r w:rsidRPr="00F65A05">
        <w:rPr>
          <w:rFonts w:ascii="Arial" w:hAnsi="Arial"/>
          <w:sz w:val="22"/>
          <w:szCs w:val="22"/>
        </w:rPr>
        <w:t xml:space="preserve"> enseignants</w:t>
      </w:r>
      <w:r>
        <w:rPr>
          <w:rFonts w:ascii="Arial" w:hAnsi="Arial"/>
          <w:sz w:val="22"/>
          <w:szCs w:val="22"/>
        </w:rPr>
        <w:t xml:space="preserve"> y</w:t>
      </w:r>
      <w:r w:rsidRPr="00F65A05">
        <w:rPr>
          <w:rFonts w:ascii="Arial" w:hAnsi="Arial"/>
          <w:sz w:val="22"/>
          <w:szCs w:val="22"/>
        </w:rPr>
        <w:t xml:space="preserve"> ont vu un potentiel pédagogique intéressant et ont commencé à développer des stratégies éducatives centrées sur ces terminaux. </w:t>
      </w:r>
      <w:r>
        <w:rPr>
          <w:rFonts w:ascii="Arial" w:hAnsi="Arial"/>
          <w:sz w:val="22"/>
          <w:szCs w:val="22"/>
        </w:rPr>
        <w:t xml:space="preserve">Les « stores » dédiés à ces nouveaux </w:t>
      </w:r>
      <w:r w:rsidRPr="00F65A05">
        <w:rPr>
          <w:rFonts w:ascii="Arial" w:hAnsi="Arial"/>
          <w:sz w:val="22"/>
          <w:szCs w:val="22"/>
        </w:rPr>
        <w:t>périphériques</w:t>
      </w:r>
      <w:r>
        <w:rPr>
          <w:rFonts w:ascii="Arial" w:hAnsi="Arial"/>
          <w:sz w:val="22"/>
          <w:szCs w:val="22"/>
        </w:rPr>
        <w:t xml:space="preserve"> ont rapidement proposé de nombreuses applications éducatives</w:t>
      </w:r>
      <w:r w:rsidRPr="00F65A05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Cependant, o</w:t>
      </w:r>
      <w:r w:rsidRPr="00F65A05">
        <w:rPr>
          <w:rFonts w:ascii="Arial" w:hAnsi="Arial"/>
          <w:sz w:val="22"/>
          <w:szCs w:val="22"/>
        </w:rPr>
        <w:t>n ne trouve que difficilement des applications permettant de travailler sur la géométrie dans l’espace qui est pourtant l’un des domaines des mathématiques les plus difficiles à appréhender pour les élèves. L’une des raisons principales</w:t>
      </w:r>
      <w:r>
        <w:rPr>
          <w:rFonts w:ascii="Arial" w:hAnsi="Arial"/>
          <w:sz w:val="22"/>
          <w:szCs w:val="22"/>
        </w:rPr>
        <w:t>, dans le cas de l’utilisation du numérique,</w:t>
      </w:r>
      <w:r w:rsidRPr="00F65A05">
        <w:rPr>
          <w:rFonts w:ascii="Arial" w:hAnsi="Arial"/>
          <w:sz w:val="22"/>
          <w:szCs w:val="22"/>
        </w:rPr>
        <w:t xml:space="preserve"> est sans doute la difficulté d’interagir sur un espace tridimensionnel à partir de périphériques qui sont</w:t>
      </w:r>
      <w:r>
        <w:rPr>
          <w:rFonts w:ascii="Arial" w:hAnsi="Arial"/>
          <w:sz w:val="22"/>
          <w:szCs w:val="22"/>
        </w:rPr>
        <w:t xml:space="preserve"> presque toujours</w:t>
      </w:r>
      <w:r w:rsidRPr="00F65A05">
        <w:rPr>
          <w:rFonts w:ascii="Arial" w:hAnsi="Arial"/>
          <w:sz w:val="22"/>
          <w:szCs w:val="22"/>
        </w:rPr>
        <w:t xml:space="preserve"> bidimensionnels.</w:t>
      </w:r>
    </w:p>
    <w:p w14:paraId="3AF88A05" w14:textId="77777777" w:rsidR="00004425" w:rsidRPr="00F65A05" w:rsidRDefault="00004425" w:rsidP="00004425">
      <w:pPr>
        <w:ind w:firstLine="708"/>
        <w:jc w:val="both"/>
        <w:rPr>
          <w:rFonts w:ascii="Arial" w:hAnsi="Arial"/>
          <w:sz w:val="22"/>
          <w:szCs w:val="22"/>
        </w:rPr>
      </w:pPr>
      <w:r w:rsidRPr="00F65A05">
        <w:rPr>
          <w:rFonts w:ascii="Arial" w:hAnsi="Arial"/>
          <w:sz w:val="22"/>
          <w:szCs w:val="22"/>
        </w:rPr>
        <w:t>Dans ce</w:t>
      </w:r>
      <w:r>
        <w:rPr>
          <w:rFonts w:ascii="Arial" w:hAnsi="Arial"/>
          <w:sz w:val="22"/>
          <w:szCs w:val="22"/>
        </w:rPr>
        <w:t>tte communication</w:t>
      </w:r>
      <w:r w:rsidRPr="00F65A05">
        <w:rPr>
          <w:rFonts w:ascii="Arial" w:hAnsi="Arial"/>
          <w:sz w:val="22"/>
          <w:szCs w:val="22"/>
        </w:rPr>
        <w:t xml:space="preserve">, nous nous focalisons sur </w:t>
      </w:r>
      <w:r>
        <w:rPr>
          <w:rFonts w:ascii="Arial" w:hAnsi="Arial"/>
          <w:sz w:val="22"/>
          <w:szCs w:val="22"/>
        </w:rPr>
        <w:t>l’impact des interactions dans le processus d’apprentissage.</w:t>
      </w:r>
      <w:r w:rsidRPr="00F65A05">
        <w:rPr>
          <w:rFonts w:ascii="Arial" w:hAnsi="Arial"/>
          <w:sz w:val="22"/>
          <w:szCs w:val="22"/>
        </w:rPr>
        <w:t xml:space="preserve"> En nous basant</w:t>
      </w:r>
      <w:r>
        <w:rPr>
          <w:rFonts w:ascii="Arial" w:hAnsi="Arial"/>
          <w:sz w:val="22"/>
          <w:szCs w:val="22"/>
        </w:rPr>
        <w:t xml:space="preserve"> sur les</w:t>
      </w:r>
      <w:r w:rsidRPr="00AF26E7">
        <w:rPr>
          <w:rFonts w:ascii="Arial" w:hAnsi="Arial"/>
          <w:sz w:val="22"/>
          <w:szCs w:val="22"/>
        </w:rPr>
        <w:t xml:space="preserve"> </w:t>
      </w:r>
      <w:r w:rsidRPr="00F65A05">
        <w:rPr>
          <w:rFonts w:ascii="Arial" w:hAnsi="Arial"/>
          <w:sz w:val="22"/>
          <w:szCs w:val="22"/>
        </w:rPr>
        <w:t xml:space="preserve">grands </w:t>
      </w:r>
      <w:r>
        <w:rPr>
          <w:rFonts w:ascii="Arial" w:hAnsi="Arial"/>
          <w:sz w:val="22"/>
          <w:szCs w:val="22"/>
        </w:rPr>
        <w:t xml:space="preserve">modèles cognitifs de la structuration de l’espace (Piaget, 1948 ; Duval, 2005 ; </w:t>
      </w:r>
      <w:proofErr w:type="spellStart"/>
      <w:r>
        <w:rPr>
          <w:rFonts w:ascii="Arial" w:hAnsi="Arial"/>
          <w:sz w:val="22"/>
          <w:szCs w:val="22"/>
        </w:rPr>
        <w:t>Houdemont</w:t>
      </w:r>
      <w:proofErr w:type="spellEnd"/>
      <w:r>
        <w:rPr>
          <w:rFonts w:ascii="Arial" w:hAnsi="Arial"/>
          <w:sz w:val="22"/>
          <w:szCs w:val="22"/>
        </w:rPr>
        <w:t xml:space="preserve"> et </w:t>
      </w:r>
      <w:proofErr w:type="spellStart"/>
      <w:r>
        <w:rPr>
          <w:rFonts w:ascii="Arial" w:hAnsi="Arial"/>
          <w:sz w:val="22"/>
          <w:szCs w:val="22"/>
        </w:rPr>
        <w:t>Kuzniak</w:t>
      </w:r>
      <w:proofErr w:type="spellEnd"/>
      <w:r>
        <w:rPr>
          <w:rFonts w:ascii="Arial" w:hAnsi="Arial"/>
          <w:sz w:val="22"/>
          <w:szCs w:val="22"/>
        </w:rPr>
        <w:t xml:space="preserve">, 2006 ; </w:t>
      </w:r>
      <w:proofErr w:type="spellStart"/>
      <w:r>
        <w:rPr>
          <w:rFonts w:ascii="Arial" w:hAnsi="Arial"/>
          <w:sz w:val="22"/>
          <w:szCs w:val="22"/>
        </w:rPr>
        <w:t>Parzysz</w:t>
      </w:r>
      <w:proofErr w:type="spellEnd"/>
      <w:r>
        <w:rPr>
          <w:rFonts w:ascii="Arial" w:hAnsi="Arial"/>
          <w:sz w:val="22"/>
          <w:szCs w:val="22"/>
        </w:rPr>
        <w:t>, 1993)</w:t>
      </w:r>
      <w:r w:rsidRPr="00F65A0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et </w:t>
      </w:r>
      <w:r w:rsidRPr="00F65A05">
        <w:rPr>
          <w:rFonts w:ascii="Arial" w:hAnsi="Arial"/>
          <w:sz w:val="22"/>
          <w:szCs w:val="22"/>
        </w:rPr>
        <w:t>sur une approche centrée sur l’utilisateur</w:t>
      </w:r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Oviatt</w:t>
      </w:r>
      <w:proofErr w:type="spellEnd"/>
      <w:r>
        <w:rPr>
          <w:rFonts w:ascii="Arial" w:hAnsi="Arial"/>
          <w:sz w:val="22"/>
          <w:szCs w:val="22"/>
        </w:rPr>
        <w:t>, 2006)</w:t>
      </w:r>
      <w:r w:rsidRPr="00F65A05">
        <w:rPr>
          <w:rFonts w:ascii="Arial" w:hAnsi="Arial"/>
          <w:sz w:val="22"/>
          <w:szCs w:val="22"/>
        </w:rPr>
        <w:t>, nous avons d’abord proposé une grammaire d’interactions adaptée à de jeunes apprenants. Nous avons ensuite évalué l’acceptabilité, la facilité d’utilisation et d’apprentissage de nos interactions.</w:t>
      </w:r>
      <w:r>
        <w:rPr>
          <w:rFonts w:ascii="Arial" w:hAnsi="Arial"/>
          <w:sz w:val="22"/>
          <w:szCs w:val="22"/>
        </w:rPr>
        <w:t xml:space="preserve"> Ces nouvelles interactions permettent par ailleurs d’envisager et d’explorer de nouvelles tâches qui n’étaient jusque là pas réalisables et donc de nouvelles voies d’apprentissage de la géométrie dans l’espace.</w:t>
      </w:r>
      <w:r w:rsidRPr="00F65A05">
        <w:rPr>
          <w:rFonts w:ascii="Arial" w:hAnsi="Arial"/>
          <w:sz w:val="22"/>
          <w:szCs w:val="22"/>
        </w:rPr>
        <w:t xml:space="preserve"> Enfin, nous avons étudié in situ l’apport pédagogique de l’introduction de tablettes numériques équipées d’une application</w:t>
      </w:r>
      <w:r>
        <w:rPr>
          <w:rFonts w:ascii="Arial" w:hAnsi="Arial"/>
          <w:sz w:val="22"/>
          <w:szCs w:val="22"/>
        </w:rPr>
        <w:t xml:space="preserve"> (FINGERS)</w:t>
      </w:r>
      <w:r w:rsidRPr="00F65A05">
        <w:rPr>
          <w:rFonts w:ascii="Arial" w:hAnsi="Arial"/>
          <w:sz w:val="22"/>
          <w:szCs w:val="22"/>
        </w:rPr>
        <w:t xml:space="preserve"> basée sur notre grammaire.</w:t>
      </w:r>
    </w:p>
    <w:p w14:paraId="6BD3B01D" w14:textId="77777777" w:rsidR="00004425" w:rsidRPr="00F65A05" w:rsidRDefault="00004425" w:rsidP="00004425">
      <w:pPr>
        <w:ind w:firstLine="708"/>
        <w:jc w:val="both"/>
        <w:rPr>
          <w:rFonts w:ascii="Arial" w:hAnsi="Arial"/>
          <w:sz w:val="22"/>
          <w:szCs w:val="22"/>
        </w:rPr>
      </w:pPr>
      <w:r w:rsidRPr="00F65A05">
        <w:rPr>
          <w:rFonts w:ascii="Arial" w:hAnsi="Arial"/>
          <w:sz w:val="22"/>
          <w:szCs w:val="22"/>
        </w:rPr>
        <w:t>Nous constatons qu’en utilisant un ensemble d’interactions adapté, les élèves manipulent, observent et modifient des scènes 3D de manière intuitive. De plus, l’utilisation d’une telle application</w:t>
      </w:r>
      <w:r>
        <w:rPr>
          <w:rFonts w:ascii="Arial" w:hAnsi="Arial"/>
          <w:sz w:val="22"/>
          <w:szCs w:val="22"/>
        </w:rPr>
        <w:t xml:space="preserve"> comme élément complémentaire des pratiques pédagogiques traditionnelles</w:t>
      </w:r>
      <w:r w:rsidRPr="00F65A05">
        <w:rPr>
          <w:rFonts w:ascii="Arial" w:hAnsi="Arial"/>
          <w:sz w:val="22"/>
          <w:szCs w:val="22"/>
        </w:rPr>
        <w:t xml:space="preserve"> a montré un apport significatif lors de l’apprentissage de la géométrie dans l’espace dans des classes de </w:t>
      </w:r>
      <w:r>
        <w:rPr>
          <w:rFonts w:ascii="Arial" w:hAnsi="Arial"/>
          <w:sz w:val="22"/>
          <w:szCs w:val="22"/>
        </w:rPr>
        <w:t>primaire</w:t>
      </w:r>
      <w:r w:rsidRPr="00F65A0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(enfants de 9-10 ans)</w:t>
      </w:r>
      <w:r w:rsidRPr="00F65A05">
        <w:rPr>
          <w:rFonts w:ascii="Arial" w:hAnsi="Arial"/>
          <w:sz w:val="22"/>
          <w:szCs w:val="22"/>
        </w:rPr>
        <w:t>.</w:t>
      </w:r>
      <w:r w:rsidRPr="00073EF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Ces évaluations écologiques ont aussi mis en avant la complémentarité de l’utilisation de notre système avec les méthodes</w:t>
      </w:r>
      <w:r w:rsidRPr="002E319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traditionnelles d’enseignement, facilitant ainsi le passage de l’espace réel (3D) vers sa représentation plane (2D) par l’intermédiaire d’un passage en deux dimensions et demi (2D½). </w:t>
      </w:r>
      <w:r w:rsidRPr="00F65A05">
        <w:rPr>
          <w:rFonts w:ascii="Arial" w:hAnsi="Arial"/>
          <w:sz w:val="22"/>
          <w:szCs w:val="22"/>
        </w:rPr>
        <w:t>Il est apparu</w:t>
      </w:r>
      <w:r>
        <w:rPr>
          <w:rFonts w:ascii="Arial" w:hAnsi="Arial"/>
          <w:sz w:val="22"/>
          <w:szCs w:val="22"/>
        </w:rPr>
        <w:t>, chez des adultes,</w:t>
      </w:r>
      <w:r w:rsidRPr="00F65A05">
        <w:rPr>
          <w:rFonts w:ascii="Arial" w:hAnsi="Arial"/>
          <w:sz w:val="22"/>
          <w:szCs w:val="22"/>
        </w:rPr>
        <w:t xml:space="preserve"> que la charge cognitive en utilisant FINGERS pendant la résolution de problèmes complexes est significativement moins importante qu’en ut</w:t>
      </w:r>
      <w:r>
        <w:rPr>
          <w:rFonts w:ascii="Arial" w:hAnsi="Arial"/>
          <w:sz w:val="22"/>
          <w:szCs w:val="22"/>
        </w:rPr>
        <w:t>ilisant les autres outils. Ce dernier</w:t>
      </w:r>
      <w:r w:rsidRPr="00F65A0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point,</w:t>
      </w:r>
      <w:r w:rsidRPr="00F65A05">
        <w:rPr>
          <w:rFonts w:ascii="Arial" w:hAnsi="Arial"/>
          <w:sz w:val="22"/>
          <w:szCs w:val="22"/>
        </w:rPr>
        <w:t xml:space="preserve"> nous ouvre de nouvelles perspectives d’explication concernant le gain pédagogique apporté par notre système</w:t>
      </w:r>
      <w:r>
        <w:rPr>
          <w:rFonts w:ascii="Arial" w:hAnsi="Arial"/>
          <w:sz w:val="22"/>
          <w:szCs w:val="22"/>
        </w:rPr>
        <w:t>.</w:t>
      </w:r>
    </w:p>
    <w:p w14:paraId="0E66EDBA" w14:textId="77777777" w:rsidR="00B71628" w:rsidRDefault="00B71628" w:rsidP="00F65A05">
      <w:pPr>
        <w:jc w:val="both"/>
        <w:rPr>
          <w:rFonts w:ascii="Arial" w:hAnsi="Arial"/>
          <w:sz w:val="22"/>
          <w:szCs w:val="22"/>
        </w:rPr>
      </w:pPr>
    </w:p>
    <w:p w14:paraId="62EFA5A2" w14:textId="77777777" w:rsidR="001A0E21" w:rsidRDefault="001A0E21" w:rsidP="00F65A05">
      <w:pPr>
        <w:jc w:val="both"/>
        <w:rPr>
          <w:rFonts w:ascii="Arial" w:hAnsi="Arial"/>
          <w:sz w:val="22"/>
          <w:szCs w:val="22"/>
        </w:rPr>
      </w:pPr>
    </w:p>
    <w:p w14:paraId="1DBAB3B1" w14:textId="2D8A28C3" w:rsidR="00B71628" w:rsidRPr="001A0E21" w:rsidRDefault="00B71628" w:rsidP="00F65A05">
      <w:pPr>
        <w:jc w:val="both"/>
        <w:rPr>
          <w:rFonts w:ascii="Arial" w:hAnsi="Arial"/>
          <w:b/>
          <w:sz w:val="22"/>
          <w:szCs w:val="22"/>
        </w:rPr>
      </w:pPr>
      <w:r w:rsidRPr="001A0E21">
        <w:rPr>
          <w:rFonts w:ascii="Arial" w:hAnsi="Arial"/>
          <w:b/>
          <w:sz w:val="22"/>
          <w:szCs w:val="22"/>
        </w:rPr>
        <w:t>Bibliographie</w:t>
      </w:r>
    </w:p>
    <w:p w14:paraId="1EB2222D" w14:textId="77777777" w:rsidR="001A0E21" w:rsidRDefault="001A0E21" w:rsidP="00F65A05">
      <w:pPr>
        <w:jc w:val="both"/>
        <w:rPr>
          <w:rFonts w:ascii="Arial" w:hAnsi="Arial"/>
          <w:sz w:val="22"/>
          <w:szCs w:val="22"/>
        </w:rPr>
      </w:pPr>
    </w:p>
    <w:p w14:paraId="30DAE1C3" w14:textId="77777777" w:rsidR="0034605F" w:rsidRPr="0034605F" w:rsidRDefault="0034605F" w:rsidP="0034605F">
      <w:pPr>
        <w:jc w:val="both"/>
        <w:rPr>
          <w:rFonts w:ascii="Arial" w:hAnsi="Arial"/>
          <w:sz w:val="22"/>
          <w:szCs w:val="22"/>
        </w:rPr>
      </w:pPr>
      <w:r w:rsidRPr="0034605F">
        <w:rPr>
          <w:rFonts w:ascii="Arial" w:hAnsi="Arial"/>
          <w:sz w:val="22"/>
          <w:szCs w:val="22"/>
        </w:rPr>
        <w:t>Chaachoua, H. (1997). Fonctions du dessin dans l’enseignement de la géométrie dans l’espace. Etude d’un cas : la vie des problèmes de construction et rapports des enseignants à ces problèmes. Thèse de doctorat, Université Joseph Fourier, Grenoble.</w:t>
      </w:r>
    </w:p>
    <w:p w14:paraId="51496901" w14:textId="77777777" w:rsidR="0034605F" w:rsidRPr="0032016F" w:rsidRDefault="0034605F" w:rsidP="0034605F">
      <w:pPr>
        <w:jc w:val="both"/>
        <w:rPr>
          <w:rFonts w:ascii="Arial" w:hAnsi="Arial"/>
          <w:sz w:val="16"/>
          <w:szCs w:val="16"/>
        </w:rPr>
      </w:pPr>
    </w:p>
    <w:p w14:paraId="5813D539" w14:textId="77777777" w:rsidR="0034605F" w:rsidRPr="0034605F" w:rsidRDefault="0034605F" w:rsidP="0034605F">
      <w:pPr>
        <w:jc w:val="both"/>
        <w:rPr>
          <w:rFonts w:ascii="Arial" w:hAnsi="Arial"/>
          <w:sz w:val="22"/>
          <w:szCs w:val="22"/>
        </w:rPr>
      </w:pPr>
      <w:r w:rsidRPr="0034605F">
        <w:rPr>
          <w:rFonts w:ascii="Arial" w:hAnsi="Arial"/>
          <w:sz w:val="22"/>
          <w:szCs w:val="22"/>
        </w:rPr>
        <w:t>Chanquoy L, Tricot A, Sweller J (2007) La charge cognitive. Paris: A. Colin.</w:t>
      </w:r>
    </w:p>
    <w:p w14:paraId="32D5E886" w14:textId="77777777" w:rsidR="001A0E21" w:rsidRPr="0032016F" w:rsidRDefault="001A0E21" w:rsidP="00F65A05">
      <w:pPr>
        <w:jc w:val="both"/>
        <w:rPr>
          <w:rFonts w:ascii="Arial" w:hAnsi="Arial"/>
          <w:sz w:val="16"/>
          <w:szCs w:val="16"/>
        </w:rPr>
      </w:pPr>
    </w:p>
    <w:p w14:paraId="11281D72" w14:textId="77777777" w:rsidR="0034605F" w:rsidRPr="0034605F" w:rsidRDefault="0034605F" w:rsidP="0034605F">
      <w:pPr>
        <w:jc w:val="both"/>
        <w:rPr>
          <w:rFonts w:ascii="Arial" w:hAnsi="Arial"/>
          <w:sz w:val="22"/>
          <w:szCs w:val="22"/>
        </w:rPr>
      </w:pPr>
      <w:r w:rsidRPr="0034605F">
        <w:rPr>
          <w:rFonts w:ascii="Arial" w:hAnsi="Arial"/>
          <w:sz w:val="22"/>
          <w:szCs w:val="22"/>
        </w:rPr>
        <w:t xml:space="preserve">Colmez F. &amp; Parzysz B. 1993. Le vu et le su dans l’évolution des dessins de pyramides du CE2 à la 2nd. In </w:t>
      </w:r>
      <w:proofErr w:type="spellStart"/>
      <w:r w:rsidRPr="0034605F">
        <w:rPr>
          <w:rFonts w:ascii="Arial" w:hAnsi="Arial"/>
          <w:sz w:val="22"/>
          <w:szCs w:val="22"/>
        </w:rPr>
        <w:t>Bessto</w:t>
      </w:r>
      <w:proofErr w:type="spellEnd"/>
      <w:r w:rsidRPr="0034605F">
        <w:rPr>
          <w:rFonts w:ascii="Arial" w:hAnsi="Arial"/>
          <w:sz w:val="22"/>
          <w:szCs w:val="22"/>
        </w:rPr>
        <w:t xml:space="preserve"> A., </w:t>
      </w:r>
      <w:proofErr w:type="spellStart"/>
      <w:r w:rsidRPr="0034605F">
        <w:rPr>
          <w:rFonts w:ascii="Arial" w:hAnsi="Arial"/>
          <w:sz w:val="22"/>
          <w:szCs w:val="22"/>
        </w:rPr>
        <w:t>Verillon</w:t>
      </w:r>
      <w:proofErr w:type="spellEnd"/>
      <w:r w:rsidRPr="0034605F">
        <w:rPr>
          <w:rFonts w:ascii="Arial" w:hAnsi="Arial"/>
          <w:sz w:val="22"/>
          <w:szCs w:val="22"/>
        </w:rPr>
        <w:t xml:space="preserve"> P. &amp; Balacheff N., Espaces graphiques et graphismes d’espaces. La pensée sauvage </w:t>
      </w:r>
      <w:proofErr w:type="spellStart"/>
      <w:r w:rsidRPr="0034605F">
        <w:rPr>
          <w:rFonts w:ascii="Arial" w:hAnsi="Arial"/>
          <w:sz w:val="22"/>
          <w:szCs w:val="22"/>
        </w:rPr>
        <w:t>editions</w:t>
      </w:r>
      <w:proofErr w:type="spellEnd"/>
      <w:r w:rsidRPr="0034605F">
        <w:rPr>
          <w:rFonts w:ascii="Arial" w:hAnsi="Arial"/>
          <w:sz w:val="22"/>
          <w:szCs w:val="22"/>
        </w:rPr>
        <w:t>, 35-55.</w:t>
      </w:r>
    </w:p>
    <w:p w14:paraId="084E1F10" w14:textId="77777777" w:rsidR="0034605F" w:rsidRPr="0032016F" w:rsidRDefault="0034605F" w:rsidP="00F65A05">
      <w:pPr>
        <w:jc w:val="both"/>
        <w:rPr>
          <w:rFonts w:ascii="Arial" w:hAnsi="Arial"/>
          <w:sz w:val="16"/>
          <w:szCs w:val="16"/>
        </w:rPr>
      </w:pPr>
    </w:p>
    <w:p w14:paraId="66F5F3F0" w14:textId="77777777" w:rsidR="0034605F" w:rsidRPr="0034605F" w:rsidRDefault="0034605F" w:rsidP="0034605F">
      <w:pPr>
        <w:jc w:val="both"/>
        <w:rPr>
          <w:rFonts w:ascii="Arial" w:hAnsi="Arial"/>
          <w:sz w:val="22"/>
          <w:szCs w:val="22"/>
        </w:rPr>
      </w:pPr>
      <w:r w:rsidRPr="0034605F">
        <w:rPr>
          <w:rFonts w:ascii="Arial" w:hAnsi="Arial"/>
          <w:sz w:val="22"/>
          <w:szCs w:val="22"/>
        </w:rPr>
        <w:lastRenderedPageBreak/>
        <w:t xml:space="preserve">Duval, R. (2005). Les conditions cognitives de l’apprentissage de la géométrie : développement de la visualisation, différenciation des raisonnements et coordination de leurs fonctionnements. </w:t>
      </w:r>
      <w:r w:rsidRPr="0034605F">
        <w:rPr>
          <w:rFonts w:ascii="Arial" w:hAnsi="Arial"/>
          <w:i/>
          <w:iCs/>
          <w:sz w:val="22"/>
          <w:szCs w:val="22"/>
        </w:rPr>
        <w:t>Annales de Didactique et de Sciences Cognitives</w:t>
      </w:r>
      <w:r w:rsidRPr="0034605F">
        <w:rPr>
          <w:rFonts w:ascii="Arial" w:hAnsi="Arial"/>
          <w:sz w:val="22"/>
          <w:szCs w:val="22"/>
        </w:rPr>
        <w:t>, 10: 5 – 53.</w:t>
      </w:r>
    </w:p>
    <w:p w14:paraId="1C97E6F9" w14:textId="77777777" w:rsidR="0034605F" w:rsidRPr="0032016F" w:rsidRDefault="0034605F" w:rsidP="00F65A05">
      <w:pPr>
        <w:jc w:val="both"/>
        <w:rPr>
          <w:rFonts w:ascii="Arial" w:hAnsi="Arial"/>
          <w:sz w:val="16"/>
          <w:szCs w:val="16"/>
        </w:rPr>
      </w:pPr>
    </w:p>
    <w:p w14:paraId="799E7CA8" w14:textId="77777777" w:rsidR="00024CAE" w:rsidRPr="00024CAE" w:rsidRDefault="00024CAE" w:rsidP="00024CAE">
      <w:pPr>
        <w:jc w:val="both"/>
        <w:rPr>
          <w:rFonts w:ascii="Arial" w:hAnsi="Arial"/>
          <w:sz w:val="22"/>
          <w:szCs w:val="22"/>
        </w:rPr>
      </w:pPr>
      <w:r w:rsidRPr="00024CAE">
        <w:rPr>
          <w:rFonts w:ascii="Arial" w:hAnsi="Arial"/>
          <w:sz w:val="22"/>
          <w:szCs w:val="22"/>
        </w:rPr>
        <w:t xml:space="preserve">Hinrichs U. and Carpendale S. 2011. </w:t>
      </w:r>
      <w:proofErr w:type="spellStart"/>
      <w:r w:rsidRPr="00024CAE">
        <w:rPr>
          <w:rFonts w:ascii="Arial" w:hAnsi="Arial"/>
          <w:sz w:val="22"/>
          <w:szCs w:val="22"/>
        </w:rPr>
        <w:t>Gestures</w:t>
      </w:r>
      <w:proofErr w:type="spellEnd"/>
      <w:r w:rsidRPr="00024CAE">
        <w:rPr>
          <w:rFonts w:ascii="Arial" w:hAnsi="Arial"/>
          <w:sz w:val="22"/>
          <w:szCs w:val="22"/>
        </w:rPr>
        <w:t xml:space="preserve"> in the </w:t>
      </w:r>
      <w:proofErr w:type="spellStart"/>
      <w:r w:rsidRPr="00024CAE">
        <w:rPr>
          <w:rFonts w:ascii="Arial" w:hAnsi="Arial"/>
          <w:sz w:val="22"/>
          <w:szCs w:val="22"/>
        </w:rPr>
        <w:t>wild</w:t>
      </w:r>
      <w:proofErr w:type="spellEnd"/>
      <w:r w:rsidRPr="00024CAE">
        <w:rPr>
          <w:rFonts w:ascii="Arial" w:hAnsi="Arial"/>
          <w:sz w:val="22"/>
          <w:szCs w:val="22"/>
        </w:rPr>
        <w:t xml:space="preserve">: </w:t>
      </w:r>
      <w:proofErr w:type="spellStart"/>
      <w:r w:rsidRPr="00024CAE">
        <w:rPr>
          <w:rFonts w:ascii="Arial" w:hAnsi="Arial"/>
          <w:sz w:val="22"/>
          <w:szCs w:val="22"/>
        </w:rPr>
        <w:t>studying</w:t>
      </w:r>
      <w:proofErr w:type="spellEnd"/>
      <w:r w:rsidRPr="00024CAE">
        <w:rPr>
          <w:rFonts w:ascii="Arial" w:hAnsi="Arial"/>
          <w:sz w:val="22"/>
          <w:szCs w:val="22"/>
        </w:rPr>
        <w:t xml:space="preserve"> multi-</w:t>
      </w:r>
      <w:proofErr w:type="spellStart"/>
      <w:r w:rsidRPr="00024CAE">
        <w:rPr>
          <w:rFonts w:ascii="Arial" w:hAnsi="Arial"/>
          <w:sz w:val="22"/>
          <w:szCs w:val="22"/>
        </w:rPr>
        <w:t>touch</w:t>
      </w:r>
      <w:proofErr w:type="spellEnd"/>
      <w:r w:rsidRPr="00024CAE">
        <w:rPr>
          <w:rFonts w:ascii="Arial" w:hAnsi="Arial"/>
          <w:sz w:val="22"/>
          <w:szCs w:val="22"/>
        </w:rPr>
        <w:t xml:space="preserve"> </w:t>
      </w:r>
      <w:proofErr w:type="spellStart"/>
      <w:r w:rsidRPr="00024CAE">
        <w:rPr>
          <w:rFonts w:ascii="Arial" w:hAnsi="Arial"/>
          <w:sz w:val="22"/>
          <w:szCs w:val="22"/>
        </w:rPr>
        <w:t>gesture</w:t>
      </w:r>
      <w:proofErr w:type="spellEnd"/>
      <w:r w:rsidRPr="00024CAE">
        <w:rPr>
          <w:rFonts w:ascii="Arial" w:hAnsi="Arial"/>
          <w:sz w:val="22"/>
          <w:szCs w:val="22"/>
        </w:rPr>
        <w:t xml:space="preserve"> </w:t>
      </w:r>
      <w:proofErr w:type="spellStart"/>
      <w:r w:rsidRPr="00024CAE">
        <w:rPr>
          <w:rFonts w:ascii="Arial" w:hAnsi="Arial"/>
          <w:sz w:val="22"/>
          <w:szCs w:val="22"/>
        </w:rPr>
        <w:t>sequences</w:t>
      </w:r>
      <w:proofErr w:type="spellEnd"/>
      <w:r w:rsidRPr="00024CAE">
        <w:rPr>
          <w:rFonts w:ascii="Arial" w:hAnsi="Arial"/>
          <w:sz w:val="22"/>
          <w:szCs w:val="22"/>
        </w:rPr>
        <w:t xml:space="preserve"> on interactive </w:t>
      </w:r>
      <w:proofErr w:type="spellStart"/>
      <w:r w:rsidRPr="00024CAE">
        <w:rPr>
          <w:rFonts w:ascii="Arial" w:hAnsi="Arial"/>
          <w:sz w:val="22"/>
          <w:szCs w:val="22"/>
        </w:rPr>
        <w:t>tabletop</w:t>
      </w:r>
      <w:proofErr w:type="spellEnd"/>
      <w:r w:rsidRPr="00024CAE">
        <w:rPr>
          <w:rFonts w:ascii="Arial" w:hAnsi="Arial"/>
          <w:sz w:val="22"/>
          <w:szCs w:val="22"/>
        </w:rPr>
        <w:t xml:space="preserve"> </w:t>
      </w:r>
      <w:proofErr w:type="spellStart"/>
      <w:r w:rsidRPr="00024CAE">
        <w:rPr>
          <w:rFonts w:ascii="Arial" w:hAnsi="Arial"/>
          <w:sz w:val="22"/>
          <w:szCs w:val="22"/>
        </w:rPr>
        <w:t>exhibits</w:t>
      </w:r>
      <w:proofErr w:type="spellEnd"/>
      <w:r w:rsidRPr="00024CAE">
        <w:rPr>
          <w:rFonts w:ascii="Arial" w:hAnsi="Arial"/>
          <w:sz w:val="22"/>
          <w:szCs w:val="22"/>
        </w:rPr>
        <w:t xml:space="preserve">. In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Proceedings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of the SIGCHI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Conference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on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Human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Factors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in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Computing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Systems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</w:t>
      </w:r>
      <w:r w:rsidRPr="00024CAE">
        <w:rPr>
          <w:rFonts w:ascii="Arial" w:hAnsi="Arial"/>
          <w:sz w:val="22"/>
          <w:szCs w:val="22"/>
        </w:rPr>
        <w:t>(CHI '11). ACM, New York, NY, USA, 3023-3032.</w:t>
      </w:r>
    </w:p>
    <w:p w14:paraId="64B61D94" w14:textId="77777777" w:rsidR="00024CAE" w:rsidRPr="00C70162" w:rsidRDefault="00024CAE" w:rsidP="00F65A05">
      <w:pPr>
        <w:jc w:val="both"/>
        <w:rPr>
          <w:rFonts w:ascii="Arial" w:hAnsi="Arial"/>
          <w:sz w:val="16"/>
          <w:szCs w:val="16"/>
        </w:rPr>
      </w:pPr>
    </w:p>
    <w:p w14:paraId="6B975613" w14:textId="0C4DEF15" w:rsidR="0099150E" w:rsidRPr="0099150E" w:rsidRDefault="0099150E" w:rsidP="0099150E">
      <w:pPr>
        <w:jc w:val="both"/>
        <w:rPr>
          <w:rFonts w:ascii="Arial" w:hAnsi="Arial"/>
          <w:sz w:val="22"/>
          <w:szCs w:val="22"/>
        </w:rPr>
      </w:pPr>
      <w:proofErr w:type="spellStart"/>
      <w:r w:rsidRPr="0099150E">
        <w:rPr>
          <w:rFonts w:ascii="Arial" w:hAnsi="Arial"/>
          <w:sz w:val="22"/>
          <w:szCs w:val="22"/>
        </w:rPr>
        <w:t>Houdement</w:t>
      </w:r>
      <w:proofErr w:type="spellEnd"/>
      <w:r w:rsidRPr="0099150E">
        <w:rPr>
          <w:rFonts w:ascii="Arial" w:hAnsi="Arial"/>
          <w:sz w:val="22"/>
          <w:szCs w:val="22"/>
        </w:rPr>
        <w:t>, C. et Kuzniak, A. (2006). Paradigmes géométriques et enseignement de la</w:t>
      </w:r>
      <w:r>
        <w:rPr>
          <w:rFonts w:ascii="Arial" w:hAnsi="Arial"/>
          <w:sz w:val="22"/>
          <w:szCs w:val="22"/>
        </w:rPr>
        <w:t xml:space="preserve"> </w:t>
      </w:r>
      <w:r w:rsidRPr="0099150E">
        <w:rPr>
          <w:rFonts w:ascii="Arial" w:hAnsi="Arial"/>
          <w:sz w:val="22"/>
          <w:szCs w:val="22"/>
        </w:rPr>
        <w:t xml:space="preserve">géométrie. </w:t>
      </w:r>
      <w:r w:rsidRPr="0099150E">
        <w:rPr>
          <w:rFonts w:ascii="Arial" w:hAnsi="Arial"/>
          <w:i/>
          <w:iCs/>
          <w:sz w:val="22"/>
          <w:szCs w:val="22"/>
        </w:rPr>
        <w:t>Annales de Didactique et de Sciences Cognitives</w:t>
      </w:r>
      <w:r w:rsidRPr="0099150E">
        <w:rPr>
          <w:rFonts w:ascii="Arial" w:hAnsi="Arial"/>
          <w:sz w:val="22"/>
          <w:szCs w:val="22"/>
        </w:rPr>
        <w:t>, 11: 175 – 193.</w:t>
      </w:r>
    </w:p>
    <w:p w14:paraId="74D0E503" w14:textId="77777777" w:rsidR="0034605F" w:rsidRPr="00C70162" w:rsidRDefault="0034605F" w:rsidP="00F65A05">
      <w:pPr>
        <w:jc w:val="both"/>
        <w:rPr>
          <w:rFonts w:ascii="Arial" w:hAnsi="Arial"/>
          <w:sz w:val="16"/>
          <w:szCs w:val="16"/>
        </w:rPr>
      </w:pPr>
    </w:p>
    <w:p w14:paraId="655596BB" w14:textId="77777777" w:rsidR="00DF031E" w:rsidRPr="00DF031E" w:rsidRDefault="00DF031E" w:rsidP="00DF031E">
      <w:pPr>
        <w:jc w:val="both"/>
        <w:rPr>
          <w:rFonts w:ascii="Arial" w:hAnsi="Arial"/>
          <w:sz w:val="22"/>
          <w:szCs w:val="22"/>
        </w:rPr>
      </w:pPr>
      <w:r w:rsidRPr="00DF031E">
        <w:rPr>
          <w:rFonts w:ascii="Arial" w:hAnsi="Arial"/>
          <w:sz w:val="22"/>
          <w:szCs w:val="22"/>
        </w:rPr>
        <w:t xml:space="preserve">Kuzniak A. (2006) Paradigmes et espaces de travail géométriques. Éléments d'un cadre théorique pour l'enseignement et la formation des enseignants en géométrie, </w:t>
      </w:r>
      <w:r w:rsidRPr="00DF031E">
        <w:rPr>
          <w:rFonts w:ascii="Arial" w:hAnsi="Arial"/>
          <w:i/>
          <w:iCs/>
          <w:sz w:val="22"/>
          <w:szCs w:val="22"/>
        </w:rPr>
        <w:t xml:space="preserve">Canadian Journal of Science, </w:t>
      </w:r>
      <w:proofErr w:type="spellStart"/>
      <w:r w:rsidRPr="00DF031E">
        <w:rPr>
          <w:rFonts w:ascii="Arial" w:hAnsi="Arial"/>
          <w:i/>
          <w:iCs/>
          <w:sz w:val="22"/>
          <w:szCs w:val="22"/>
        </w:rPr>
        <w:t>Mathematics</w:t>
      </w:r>
      <w:proofErr w:type="spellEnd"/>
      <w:r w:rsidRPr="00DF031E">
        <w:rPr>
          <w:rFonts w:ascii="Arial" w:hAnsi="Arial"/>
          <w:i/>
          <w:iCs/>
          <w:sz w:val="22"/>
          <w:szCs w:val="22"/>
        </w:rPr>
        <w:t xml:space="preserve"> and </w:t>
      </w:r>
      <w:proofErr w:type="spellStart"/>
      <w:r w:rsidRPr="00DF031E">
        <w:rPr>
          <w:rFonts w:ascii="Arial" w:hAnsi="Arial"/>
          <w:i/>
          <w:iCs/>
          <w:sz w:val="22"/>
          <w:szCs w:val="22"/>
        </w:rPr>
        <w:t>Technology</w:t>
      </w:r>
      <w:proofErr w:type="spellEnd"/>
      <w:r w:rsidRPr="00DF031E">
        <w:rPr>
          <w:rFonts w:ascii="Arial" w:hAnsi="Arial"/>
          <w:i/>
          <w:iCs/>
          <w:sz w:val="22"/>
          <w:szCs w:val="22"/>
        </w:rPr>
        <w:t xml:space="preserve"> Education, </w:t>
      </w:r>
      <w:r w:rsidRPr="00DF031E">
        <w:rPr>
          <w:rFonts w:ascii="Arial" w:hAnsi="Arial"/>
          <w:sz w:val="22"/>
          <w:szCs w:val="22"/>
        </w:rPr>
        <w:t>6.2, 167- 187.</w:t>
      </w:r>
    </w:p>
    <w:p w14:paraId="25E75DD4" w14:textId="77777777" w:rsidR="0099150E" w:rsidRPr="00C70162" w:rsidRDefault="0099150E" w:rsidP="00F65A05">
      <w:pPr>
        <w:jc w:val="both"/>
        <w:rPr>
          <w:rFonts w:ascii="Arial" w:hAnsi="Arial"/>
          <w:sz w:val="16"/>
          <w:szCs w:val="16"/>
        </w:rPr>
      </w:pPr>
    </w:p>
    <w:p w14:paraId="097AE905" w14:textId="77777777" w:rsidR="00DF031E" w:rsidRPr="00DF031E" w:rsidRDefault="00DF031E" w:rsidP="00DF031E">
      <w:pPr>
        <w:jc w:val="both"/>
        <w:rPr>
          <w:rFonts w:ascii="Arial" w:hAnsi="Arial"/>
          <w:sz w:val="22"/>
          <w:szCs w:val="22"/>
        </w:rPr>
      </w:pPr>
      <w:r w:rsidRPr="00DF031E">
        <w:rPr>
          <w:rFonts w:ascii="Arial" w:hAnsi="Arial"/>
          <w:sz w:val="22"/>
          <w:szCs w:val="22"/>
        </w:rPr>
        <w:t>Mithalal, J. (2010). Déconstruction instrumentale et déconstruction dimensionnelle dans le contexte de la géométrie dynamique tridimensionnelle. Thèse de doctorat, Université Joseph Fourier, Grenoble.</w:t>
      </w:r>
    </w:p>
    <w:p w14:paraId="38A8D194" w14:textId="77777777" w:rsidR="00DF031E" w:rsidRPr="00C70162" w:rsidRDefault="00DF031E" w:rsidP="00F65A05">
      <w:pPr>
        <w:jc w:val="both"/>
        <w:rPr>
          <w:rFonts w:ascii="Arial" w:hAnsi="Arial"/>
          <w:sz w:val="16"/>
          <w:szCs w:val="16"/>
        </w:rPr>
      </w:pPr>
    </w:p>
    <w:p w14:paraId="1FCB8080" w14:textId="77777777" w:rsidR="007002A8" w:rsidRPr="007002A8" w:rsidRDefault="007002A8" w:rsidP="007002A8">
      <w:pPr>
        <w:jc w:val="both"/>
        <w:rPr>
          <w:rFonts w:ascii="Arial" w:hAnsi="Arial"/>
          <w:sz w:val="22"/>
          <w:szCs w:val="22"/>
        </w:rPr>
      </w:pPr>
      <w:r w:rsidRPr="007002A8">
        <w:rPr>
          <w:rFonts w:ascii="Arial" w:hAnsi="Arial"/>
          <w:sz w:val="22"/>
          <w:szCs w:val="22"/>
        </w:rPr>
        <w:t>Oviatt S., “</w:t>
      </w:r>
      <w:proofErr w:type="spellStart"/>
      <w:r w:rsidRPr="007002A8">
        <w:rPr>
          <w:rFonts w:ascii="Arial" w:hAnsi="Arial"/>
          <w:sz w:val="22"/>
          <w:szCs w:val="22"/>
        </w:rPr>
        <w:t>Human-centertred</w:t>
      </w:r>
      <w:proofErr w:type="spellEnd"/>
      <w:r w:rsidRPr="007002A8">
        <w:rPr>
          <w:rFonts w:ascii="Arial" w:hAnsi="Arial"/>
          <w:sz w:val="22"/>
          <w:szCs w:val="22"/>
        </w:rPr>
        <w:t xml:space="preserve"> design </w:t>
      </w:r>
      <w:proofErr w:type="spellStart"/>
      <w:r w:rsidRPr="007002A8">
        <w:rPr>
          <w:rFonts w:ascii="Arial" w:hAnsi="Arial"/>
          <w:sz w:val="22"/>
          <w:szCs w:val="22"/>
        </w:rPr>
        <w:t>meets</w:t>
      </w:r>
      <w:proofErr w:type="spellEnd"/>
      <w:r w:rsidRPr="007002A8">
        <w:rPr>
          <w:rFonts w:ascii="Arial" w:hAnsi="Arial"/>
          <w:sz w:val="22"/>
          <w:szCs w:val="22"/>
        </w:rPr>
        <w:t xml:space="preserve"> cognitive </w:t>
      </w:r>
      <w:proofErr w:type="spellStart"/>
      <w:r w:rsidRPr="007002A8">
        <w:rPr>
          <w:rFonts w:ascii="Arial" w:hAnsi="Arial"/>
          <w:sz w:val="22"/>
          <w:szCs w:val="22"/>
        </w:rPr>
        <w:t>load</w:t>
      </w:r>
      <w:proofErr w:type="spellEnd"/>
      <w:r w:rsidRPr="007002A8">
        <w:rPr>
          <w:rFonts w:ascii="Arial" w:hAnsi="Arial"/>
          <w:sz w:val="22"/>
          <w:szCs w:val="22"/>
        </w:rPr>
        <w:t xml:space="preserve"> </w:t>
      </w:r>
      <w:proofErr w:type="spellStart"/>
      <w:r w:rsidRPr="007002A8">
        <w:rPr>
          <w:rFonts w:ascii="Arial" w:hAnsi="Arial"/>
          <w:sz w:val="22"/>
          <w:szCs w:val="22"/>
        </w:rPr>
        <w:t>theory</w:t>
      </w:r>
      <w:proofErr w:type="spellEnd"/>
      <w:r w:rsidRPr="007002A8">
        <w:rPr>
          <w:rFonts w:ascii="Arial" w:hAnsi="Arial"/>
          <w:sz w:val="22"/>
          <w:szCs w:val="22"/>
        </w:rPr>
        <w:t xml:space="preserve">: </w:t>
      </w:r>
      <w:proofErr w:type="spellStart"/>
      <w:r w:rsidRPr="007002A8">
        <w:rPr>
          <w:rFonts w:ascii="Arial" w:hAnsi="Arial"/>
          <w:sz w:val="22"/>
          <w:szCs w:val="22"/>
        </w:rPr>
        <w:t>Dsigning</w:t>
      </w:r>
      <w:proofErr w:type="spellEnd"/>
      <w:r w:rsidRPr="007002A8">
        <w:rPr>
          <w:rFonts w:ascii="Arial" w:hAnsi="Arial"/>
          <w:sz w:val="22"/>
          <w:szCs w:val="22"/>
        </w:rPr>
        <w:t xml:space="preserve"> interfaces </w:t>
      </w:r>
      <w:proofErr w:type="spellStart"/>
      <w:r w:rsidRPr="007002A8">
        <w:rPr>
          <w:rFonts w:ascii="Arial" w:hAnsi="Arial"/>
          <w:sz w:val="22"/>
          <w:szCs w:val="22"/>
        </w:rPr>
        <w:t>that</w:t>
      </w:r>
      <w:proofErr w:type="spellEnd"/>
      <w:r w:rsidRPr="007002A8">
        <w:rPr>
          <w:rFonts w:ascii="Arial" w:hAnsi="Arial"/>
          <w:sz w:val="22"/>
          <w:szCs w:val="22"/>
        </w:rPr>
        <w:t xml:space="preserve"> help people </w:t>
      </w:r>
      <w:proofErr w:type="spellStart"/>
      <w:r w:rsidRPr="007002A8">
        <w:rPr>
          <w:rFonts w:ascii="Arial" w:hAnsi="Arial"/>
          <w:sz w:val="22"/>
          <w:szCs w:val="22"/>
        </w:rPr>
        <w:t>think</w:t>
      </w:r>
      <w:proofErr w:type="spellEnd"/>
      <w:r w:rsidRPr="007002A8">
        <w:rPr>
          <w:rFonts w:ascii="Arial" w:hAnsi="Arial"/>
          <w:sz w:val="22"/>
          <w:szCs w:val="22"/>
        </w:rPr>
        <w:t xml:space="preserve">”, MM’06, </w:t>
      </w:r>
      <w:proofErr w:type="spellStart"/>
      <w:r w:rsidRPr="007002A8">
        <w:rPr>
          <w:rFonts w:ascii="Arial" w:hAnsi="Arial"/>
          <w:sz w:val="22"/>
          <w:szCs w:val="22"/>
        </w:rPr>
        <w:t>October</w:t>
      </w:r>
      <w:proofErr w:type="spellEnd"/>
      <w:r w:rsidRPr="007002A8">
        <w:rPr>
          <w:rFonts w:ascii="Arial" w:hAnsi="Arial"/>
          <w:sz w:val="22"/>
          <w:szCs w:val="22"/>
        </w:rPr>
        <w:t xml:space="preserve"> 23-27, 2006, Santa-Barbara, </w:t>
      </w:r>
      <w:proofErr w:type="spellStart"/>
      <w:r w:rsidRPr="007002A8">
        <w:rPr>
          <w:rFonts w:ascii="Arial" w:hAnsi="Arial"/>
          <w:sz w:val="22"/>
          <w:szCs w:val="22"/>
        </w:rPr>
        <w:t>California</w:t>
      </w:r>
      <w:proofErr w:type="spellEnd"/>
      <w:r w:rsidRPr="007002A8">
        <w:rPr>
          <w:rFonts w:ascii="Arial" w:hAnsi="Arial"/>
          <w:sz w:val="22"/>
          <w:szCs w:val="22"/>
        </w:rPr>
        <w:t>, USA.</w:t>
      </w:r>
    </w:p>
    <w:p w14:paraId="11FF4FD0" w14:textId="77777777" w:rsidR="00CB493B" w:rsidRPr="00C70162" w:rsidRDefault="00CB493B" w:rsidP="007002A8">
      <w:pPr>
        <w:jc w:val="both"/>
        <w:rPr>
          <w:rFonts w:ascii="Arial" w:hAnsi="Arial"/>
          <w:sz w:val="16"/>
          <w:szCs w:val="16"/>
        </w:rPr>
      </w:pPr>
    </w:p>
    <w:p w14:paraId="5D0D6798" w14:textId="77777777" w:rsidR="007002A8" w:rsidRPr="007002A8" w:rsidRDefault="007002A8" w:rsidP="007002A8">
      <w:pPr>
        <w:jc w:val="both"/>
        <w:rPr>
          <w:rFonts w:ascii="Arial" w:hAnsi="Arial"/>
          <w:sz w:val="22"/>
          <w:szCs w:val="22"/>
        </w:rPr>
      </w:pPr>
      <w:r w:rsidRPr="007002A8">
        <w:rPr>
          <w:rFonts w:ascii="Arial" w:hAnsi="Arial"/>
          <w:sz w:val="22"/>
          <w:szCs w:val="22"/>
        </w:rPr>
        <w:t>Parzysz, B. (1988). “</w:t>
      </w:r>
      <w:proofErr w:type="spellStart"/>
      <w:proofErr w:type="gramStart"/>
      <w:r w:rsidRPr="007002A8">
        <w:rPr>
          <w:rFonts w:ascii="Arial" w:hAnsi="Arial"/>
          <w:sz w:val="22"/>
          <w:szCs w:val="22"/>
        </w:rPr>
        <w:t>knowing</w:t>
      </w:r>
      <w:proofErr w:type="spellEnd"/>
      <w:proofErr w:type="gramEnd"/>
      <w:r w:rsidRPr="007002A8">
        <w:rPr>
          <w:rFonts w:ascii="Arial" w:hAnsi="Arial"/>
          <w:sz w:val="22"/>
          <w:szCs w:val="22"/>
        </w:rPr>
        <w:t>” vs “</w:t>
      </w:r>
      <w:proofErr w:type="spellStart"/>
      <w:r w:rsidRPr="007002A8">
        <w:rPr>
          <w:rFonts w:ascii="Arial" w:hAnsi="Arial"/>
          <w:sz w:val="22"/>
          <w:szCs w:val="22"/>
        </w:rPr>
        <w:t>seeing</w:t>
      </w:r>
      <w:proofErr w:type="spellEnd"/>
      <w:r w:rsidRPr="007002A8">
        <w:rPr>
          <w:rFonts w:ascii="Arial" w:hAnsi="Arial"/>
          <w:sz w:val="22"/>
          <w:szCs w:val="22"/>
        </w:rPr>
        <w:t xml:space="preserve">”, </w:t>
      </w:r>
      <w:proofErr w:type="spellStart"/>
      <w:r w:rsidRPr="007002A8">
        <w:rPr>
          <w:rFonts w:ascii="Arial" w:hAnsi="Arial"/>
          <w:sz w:val="22"/>
          <w:szCs w:val="22"/>
        </w:rPr>
        <w:t>problems</w:t>
      </w:r>
      <w:proofErr w:type="spellEnd"/>
      <w:r w:rsidRPr="007002A8">
        <w:rPr>
          <w:rFonts w:ascii="Arial" w:hAnsi="Arial"/>
          <w:sz w:val="22"/>
          <w:szCs w:val="22"/>
        </w:rPr>
        <w:t xml:space="preserve"> of the plane </w:t>
      </w:r>
      <w:proofErr w:type="spellStart"/>
      <w:r w:rsidRPr="007002A8">
        <w:rPr>
          <w:rFonts w:ascii="Arial" w:hAnsi="Arial"/>
          <w:sz w:val="22"/>
          <w:szCs w:val="22"/>
        </w:rPr>
        <w:t>representation</w:t>
      </w:r>
      <w:proofErr w:type="spellEnd"/>
      <w:r w:rsidRPr="007002A8">
        <w:rPr>
          <w:rFonts w:ascii="Arial" w:hAnsi="Arial"/>
          <w:sz w:val="22"/>
          <w:szCs w:val="22"/>
        </w:rPr>
        <w:t xml:space="preserve"> of </w:t>
      </w:r>
      <w:proofErr w:type="spellStart"/>
      <w:r w:rsidRPr="007002A8">
        <w:rPr>
          <w:rFonts w:ascii="Arial" w:hAnsi="Arial"/>
          <w:sz w:val="22"/>
          <w:szCs w:val="22"/>
        </w:rPr>
        <w:t>space</w:t>
      </w:r>
      <w:proofErr w:type="spellEnd"/>
      <w:r w:rsidRPr="007002A8">
        <w:rPr>
          <w:rFonts w:ascii="Arial" w:hAnsi="Arial"/>
          <w:sz w:val="22"/>
          <w:szCs w:val="22"/>
        </w:rPr>
        <w:t xml:space="preserve"> </w:t>
      </w:r>
      <w:proofErr w:type="spellStart"/>
      <w:r w:rsidRPr="007002A8">
        <w:rPr>
          <w:rFonts w:ascii="Arial" w:hAnsi="Arial"/>
          <w:sz w:val="22"/>
          <w:szCs w:val="22"/>
        </w:rPr>
        <w:t>geometry</w:t>
      </w:r>
      <w:proofErr w:type="spellEnd"/>
      <w:r w:rsidRPr="007002A8">
        <w:rPr>
          <w:rFonts w:ascii="Arial" w:hAnsi="Arial"/>
          <w:sz w:val="22"/>
          <w:szCs w:val="22"/>
        </w:rPr>
        <w:t xml:space="preserve"> figures.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Educational</w:t>
      </w:r>
      <w:proofErr w:type="spellEnd"/>
      <w:r w:rsidRPr="007002A8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Studies</w:t>
      </w:r>
      <w:proofErr w:type="spellEnd"/>
      <w:r w:rsidRPr="007002A8">
        <w:rPr>
          <w:rFonts w:ascii="Arial" w:hAnsi="Arial"/>
          <w:i/>
          <w:iCs/>
          <w:sz w:val="22"/>
          <w:szCs w:val="22"/>
        </w:rPr>
        <w:t xml:space="preserve"> in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Mathematics</w:t>
      </w:r>
      <w:proofErr w:type="spellEnd"/>
      <w:r w:rsidRPr="007002A8">
        <w:rPr>
          <w:rFonts w:ascii="Arial" w:hAnsi="Arial"/>
          <w:sz w:val="22"/>
          <w:szCs w:val="22"/>
        </w:rPr>
        <w:t>, 19: 79 – 92.</w:t>
      </w:r>
    </w:p>
    <w:p w14:paraId="0AA59EA1" w14:textId="77777777" w:rsidR="00CB493B" w:rsidRPr="00C70162" w:rsidRDefault="00CB493B" w:rsidP="007002A8">
      <w:pPr>
        <w:jc w:val="both"/>
        <w:rPr>
          <w:rFonts w:ascii="Arial" w:hAnsi="Arial"/>
          <w:sz w:val="16"/>
          <w:szCs w:val="16"/>
        </w:rPr>
      </w:pPr>
    </w:p>
    <w:p w14:paraId="664C1BCA" w14:textId="77777777" w:rsidR="007002A8" w:rsidRPr="007002A8" w:rsidRDefault="007002A8" w:rsidP="007002A8">
      <w:pPr>
        <w:jc w:val="both"/>
        <w:rPr>
          <w:rFonts w:ascii="Arial" w:hAnsi="Arial"/>
          <w:sz w:val="22"/>
          <w:szCs w:val="22"/>
        </w:rPr>
      </w:pPr>
      <w:r w:rsidRPr="007002A8">
        <w:rPr>
          <w:rFonts w:ascii="Arial" w:hAnsi="Arial"/>
          <w:sz w:val="22"/>
          <w:szCs w:val="22"/>
        </w:rPr>
        <w:t>Parzysz B. 1989. Représentations planes et enseignement de la géométrie de l'espace au lycée. Contribution à l'étude de la relation voir/savoir. Thèse. Paris : Université Paris-7.</w:t>
      </w:r>
    </w:p>
    <w:p w14:paraId="0EC34595" w14:textId="77777777" w:rsidR="00CB493B" w:rsidRPr="00C70162" w:rsidRDefault="00CB493B" w:rsidP="007002A8">
      <w:pPr>
        <w:jc w:val="both"/>
        <w:rPr>
          <w:rFonts w:ascii="Arial" w:hAnsi="Arial"/>
          <w:sz w:val="16"/>
          <w:szCs w:val="16"/>
        </w:rPr>
      </w:pPr>
    </w:p>
    <w:p w14:paraId="10D311F7" w14:textId="77777777" w:rsidR="007002A8" w:rsidRPr="007002A8" w:rsidRDefault="007002A8" w:rsidP="007002A8">
      <w:pPr>
        <w:jc w:val="both"/>
        <w:rPr>
          <w:rFonts w:ascii="Arial" w:hAnsi="Arial"/>
          <w:sz w:val="22"/>
          <w:szCs w:val="22"/>
        </w:rPr>
      </w:pPr>
      <w:r w:rsidRPr="007002A8">
        <w:rPr>
          <w:rFonts w:ascii="Arial" w:hAnsi="Arial"/>
          <w:sz w:val="22"/>
          <w:szCs w:val="22"/>
        </w:rPr>
        <w:t xml:space="preserve">Parzysz, B. (1991). Espace, géométrie et dessin. Une ingénierie didactique pour l’apprentissage, l’enseignement et l’utilisation de la perspective par- allèle au lycée. </w:t>
      </w:r>
      <w:r w:rsidRPr="007002A8">
        <w:rPr>
          <w:rFonts w:ascii="Arial" w:hAnsi="Arial"/>
          <w:i/>
          <w:iCs/>
          <w:sz w:val="22"/>
          <w:szCs w:val="22"/>
        </w:rPr>
        <w:t>Recherches en Didactique des Mathématiques</w:t>
      </w:r>
      <w:r w:rsidRPr="007002A8">
        <w:rPr>
          <w:rFonts w:ascii="Arial" w:hAnsi="Arial"/>
          <w:sz w:val="22"/>
          <w:szCs w:val="22"/>
        </w:rPr>
        <w:t>, 11(2.3): 211 – 240.</w:t>
      </w:r>
    </w:p>
    <w:p w14:paraId="7451165B" w14:textId="77777777" w:rsidR="00CB493B" w:rsidRPr="00C70162" w:rsidRDefault="00CB493B" w:rsidP="007002A8">
      <w:pPr>
        <w:jc w:val="both"/>
        <w:rPr>
          <w:rFonts w:ascii="Arial" w:hAnsi="Arial"/>
          <w:sz w:val="16"/>
          <w:szCs w:val="16"/>
        </w:rPr>
      </w:pPr>
    </w:p>
    <w:p w14:paraId="0C64F4B2" w14:textId="77777777" w:rsidR="007002A8" w:rsidRPr="007002A8" w:rsidRDefault="007002A8" w:rsidP="007002A8">
      <w:pPr>
        <w:jc w:val="both"/>
        <w:rPr>
          <w:rFonts w:ascii="Arial" w:hAnsi="Arial"/>
          <w:sz w:val="22"/>
          <w:szCs w:val="22"/>
        </w:rPr>
      </w:pPr>
      <w:r w:rsidRPr="007002A8">
        <w:rPr>
          <w:rFonts w:ascii="Arial" w:hAnsi="Arial"/>
          <w:sz w:val="22"/>
          <w:szCs w:val="22"/>
        </w:rPr>
        <w:t xml:space="preserve">Parzysz, B. (2006). La géométrie dans l’enseignement secondaire et en formation de professeurs des écoles : de quoi s’agit-il ?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Quaderni</w:t>
      </w:r>
      <w:proofErr w:type="spellEnd"/>
      <w:r w:rsidRPr="007002A8">
        <w:rPr>
          <w:rFonts w:ascii="Arial" w:hAnsi="Arial"/>
          <w:i/>
          <w:iCs/>
          <w:sz w:val="22"/>
          <w:szCs w:val="22"/>
        </w:rPr>
        <w:t xml:space="preserve"> di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Ricerca</w:t>
      </w:r>
      <w:proofErr w:type="spellEnd"/>
      <w:r w:rsidRPr="007002A8">
        <w:rPr>
          <w:rFonts w:ascii="Arial" w:hAnsi="Arial"/>
          <w:i/>
          <w:iCs/>
          <w:sz w:val="22"/>
          <w:szCs w:val="22"/>
        </w:rPr>
        <w:t xml:space="preserve"> in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Didattica</w:t>
      </w:r>
      <w:proofErr w:type="spellEnd"/>
      <w:r w:rsidRPr="007002A8">
        <w:rPr>
          <w:rFonts w:ascii="Arial" w:hAnsi="Arial"/>
          <w:sz w:val="22"/>
          <w:szCs w:val="22"/>
        </w:rPr>
        <w:t>, 17: 121 – 144.</w:t>
      </w:r>
    </w:p>
    <w:p w14:paraId="73D50F73" w14:textId="77777777" w:rsidR="00DF031E" w:rsidRPr="00C70162" w:rsidRDefault="00DF031E" w:rsidP="00F65A05">
      <w:pPr>
        <w:jc w:val="both"/>
        <w:rPr>
          <w:rFonts w:ascii="Arial" w:hAnsi="Arial"/>
          <w:sz w:val="16"/>
          <w:szCs w:val="16"/>
        </w:rPr>
      </w:pPr>
    </w:p>
    <w:p w14:paraId="3695640C" w14:textId="77777777" w:rsidR="00E52861" w:rsidRPr="00E52861" w:rsidRDefault="00E52861" w:rsidP="00E52861">
      <w:pPr>
        <w:jc w:val="both"/>
        <w:rPr>
          <w:rFonts w:ascii="Arial" w:hAnsi="Arial"/>
          <w:sz w:val="22"/>
          <w:szCs w:val="22"/>
        </w:rPr>
      </w:pPr>
      <w:r w:rsidRPr="00E52861">
        <w:rPr>
          <w:rFonts w:ascii="Arial" w:hAnsi="Arial"/>
          <w:sz w:val="22"/>
          <w:szCs w:val="22"/>
        </w:rPr>
        <w:t xml:space="preserve">Piaget J. et Inhelder B. 1948. The </w:t>
      </w:r>
      <w:proofErr w:type="spellStart"/>
      <w:r w:rsidRPr="00E52861">
        <w:rPr>
          <w:rFonts w:ascii="Arial" w:hAnsi="Arial"/>
          <w:sz w:val="22"/>
          <w:szCs w:val="22"/>
        </w:rPr>
        <w:t>Child's</w:t>
      </w:r>
      <w:proofErr w:type="spellEnd"/>
      <w:r w:rsidRPr="00E52861">
        <w:rPr>
          <w:rFonts w:ascii="Arial" w:hAnsi="Arial"/>
          <w:sz w:val="22"/>
          <w:szCs w:val="22"/>
        </w:rPr>
        <w:t xml:space="preserve"> Conception of </w:t>
      </w:r>
      <w:proofErr w:type="spellStart"/>
      <w:r w:rsidRPr="00E52861">
        <w:rPr>
          <w:rFonts w:ascii="Arial" w:hAnsi="Arial"/>
          <w:sz w:val="22"/>
          <w:szCs w:val="22"/>
        </w:rPr>
        <w:t>Space</w:t>
      </w:r>
      <w:proofErr w:type="spellEnd"/>
      <w:r w:rsidRPr="00E52861">
        <w:rPr>
          <w:rFonts w:ascii="Arial" w:hAnsi="Arial"/>
          <w:sz w:val="22"/>
          <w:szCs w:val="22"/>
        </w:rPr>
        <w:t>. New York: W. W. Norton.</w:t>
      </w:r>
    </w:p>
    <w:p w14:paraId="65D387DC" w14:textId="77777777" w:rsidR="00CB493B" w:rsidRPr="00C70162" w:rsidRDefault="00CB493B" w:rsidP="00F65A05">
      <w:pPr>
        <w:jc w:val="both"/>
        <w:rPr>
          <w:rFonts w:ascii="Arial" w:hAnsi="Arial"/>
          <w:sz w:val="16"/>
          <w:szCs w:val="16"/>
        </w:rPr>
      </w:pPr>
    </w:p>
    <w:p w14:paraId="2FDD8742" w14:textId="37D8A09B" w:rsidR="00CC04F7" w:rsidRPr="00F65A05" w:rsidRDefault="00CC04F7" w:rsidP="00F65A05">
      <w:pPr>
        <w:jc w:val="both"/>
        <w:rPr>
          <w:rFonts w:ascii="Arial" w:hAnsi="Arial"/>
          <w:sz w:val="22"/>
          <w:szCs w:val="22"/>
        </w:rPr>
      </w:pPr>
      <w:r w:rsidRPr="00CC04F7">
        <w:rPr>
          <w:rFonts w:ascii="Arial" w:hAnsi="Arial"/>
          <w:sz w:val="22"/>
          <w:szCs w:val="22"/>
        </w:rPr>
        <w:t xml:space="preserve">Sweller, J. (1988). Cognitive </w:t>
      </w:r>
      <w:proofErr w:type="spellStart"/>
      <w:r w:rsidRPr="00CC04F7">
        <w:rPr>
          <w:rFonts w:ascii="Arial" w:hAnsi="Arial"/>
          <w:sz w:val="22"/>
          <w:szCs w:val="22"/>
        </w:rPr>
        <w:t>load</w:t>
      </w:r>
      <w:proofErr w:type="spellEnd"/>
      <w:r w:rsidRPr="00CC04F7">
        <w:rPr>
          <w:rFonts w:ascii="Arial" w:hAnsi="Arial"/>
          <w:sz w:val="22"/>
          <w:szCs w:val="22"/>
        </w:rPr>
        <w:t xml:space="preserve"> </w:t>
      </w:r>
      <w:proofErr w:type="spellStart"/>
      <w:r w:rsidRPr="00CC04F7">
        <w:rPr>
          <w:rFonts w:ascii="Arial" w:hAnsi="Arial"/>
          <w:sz w:val="22"/>
          <w:szCs w:val="22"/>
        </w:rPr>
        <w:t>during</w:t>
      </w:r>
      <w:proofErr w:type="spellEnd"/>
      <w:r w:rsidRPr="00CC04F7">
        <w:rPr>
          <w:rFonts w:ascii="Arial" w:hAnsi="Arial"/>
          <w:sz w:val="22"/>
          <w:szCs w:val="22"/>
        </w:rPr>
        <w:t xml:space="preserve"> </w:t>
      </w:r>
      <w:proofErr w:type="spellStart"/>
      <w:r w:rsidRPr="00CC04F7">
        <w:rPr>
          <w:rFonts w:ascii="Arial" w:hAnsi="Arial"/>
          <w:sz w:val="22"/>
          <w:szCs w:val="22"/>
        </w:rPr>
        <w:t>problem</w:t>
      </w:r>
      <w:proofErr w:type="spellEnd"/>
      <w:r w:rsidRPr="00CC04F7">
        <w:rPr>
          <w:rFonts w:ascii="Arial" w:hAnsi="Arial"/>
          <w:sz w:val="22"/>
          <w:szCs w:val="22"/>
        </w:rPr>
        <w:t xml:space="preserve"> </w:t>
      </w:r>
      <w:proofErr w:type="spellStart"/>
      <w:r w:rsidRPr="00CC04F7">
        <w:rPr>
          <w:rFonts w:ascii="Arial" w:hAnsi="Arial"/>
          <w:sz w:val="22"/>
          <w:szCs w:val="22"/>
        </w:rPr>
        <w:t>solving</w:t>
      </w:r>
      <w:proofErr w:type="spellEnd"/>
      <w:r w:rsidRPr="00CC04F7">
        <w:rPr>
          <w:rFonts w:ascii="Arial" w:hAnsi="Arial"/>
          <w:sz w:val="22"/>
          <w:szCs w:val="22"/>
        </w:rPr>
        <w:t xml:space="preserve">: </w:t>
      </w:r>
      <w:proofErr w:type="spellStart"/>
      <w:r w:rsidRPr="00CC04F7">
        <w:rPr>
          <w:rFonts w:ascii="Arial" w:hAnsi="Arial"/>
          <w:sz w:val="22"/>
          <w:szCs w:val="22"/>
        </w:rPr>
        <w:t>Effects</w:t>
      </w:r>
      <w:proofErr w:type="spellEnd"/>
      <w:r w:rsidRPr="00CC04F7">
        <w:rPr>
          <w:rFonts w:ascii="Arial" w:hAnsi="Arial"/>
          <w:sz w:val="22"/>
          <w:szCs w:val="22"/>
        </w:rPr>
        <w:t xml:space="preserve"> of </w:t>
      </w:r>
      <w:proofErr w:type="spellStart"/>
      <w:r w:rsidRPr="00CC04F7">
        <w:rPr>
          <w:rFonts w:ascii="Arial" w:hAnsi="Arial"/>
          <w:sz w:val="22"/>
          <w:szCs w:val="22"/>
        </w:rPr>
        <w:t>learning</w:t>
      </w:r>
      <w:proofErr w:type="spellEnd"/>
      <w:r w:rsidRPr="00CC04F7">
        <w:rPr>
          <w:rFonts w:ascii="Arial" w:hAnsi="Arial"/>
          <w:sz w:val="22"/>
          <w:szCs w:val="22"/>
        </w:rPr>
        <w:t xml:space="preserve">. </w:t>
      </w:r>
      <w:r w:rsidRPr="00CC04F7">
        <w:rPr>
          <w:rFonts w:ascii="Arial" w:hAnsi="Arial"/>
          <w:i/>
          <w:iCs/>
          <w:sz w:val="22"/>
          <w:szCs w:val="22"/>
        </w:rPr>
        <w:t xml:space="preserve">Cognitive Science, 12, </w:t>
      </w:r>
      <w:r w:rsidRPr="00CC04F7">
        <w:rPr>
          <w:rFonts w:ascii="Arial" w:hAnsi="Arial"/>
          <w:sz w:val="22"/>
          <w:szCs w:val="22"/>
        </w:rPr>
        <w:t>257-285.</w:t>
      </w:r>
    </w:p>
    <w:sectPr w:rsidR="00CC04F7" w:rsidRPr="00F65A05" w:rsidSect="00F754A8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215F3"/>
    <w:multiLevelType w:val="hybridMultilevel"/>
    <w:tmpl w:val="810E6FBA"/>
    <w:lvl w:ilvl="0" w:tplc="F7DA065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05"/>
    <w:rsid w:val="00004425"/>
    <w:rsid w:val="00024CAE"/>
    <w:rsid w:val="00034B11"/>
    <w:rsid w:val="00044315"/>
    <w:rsid w:val="00090671"/>
    <w:rsid w:val="000A0FB2"/>
    <w:rsid w:val="000C4C72"/>
    <w:rsid w:val="00130A58"/>
    <w:rsid w:val="001A0E21"/>
    <w:rsid w:val="001A111E"/>
    <w:rsid w:val="001A1DCA"/>
    <w:rsid w:val="001F7CC8"/>
    <w:rsid w:val="00282896"/>
    <w:rsid w:val="002A2F75"/>
    <w:rsid w:val="002E3198"/>
    <w:rsid w:val="002F5A54"/>
    <w:rsid w:val="00304642"/>
    <w:rsid w:val="0032016F"/>
    <w:rsid w:val="003268C2"/>
    <w:rsid w:val="0034247A"/>
    <w:rsid w:val="0034605F"/>
    <w:rsid w:val="0035719A"/>
    <w:rsid w:val="00383EF6"/>
    <w:rsid w:val="003B618B"/>
    <w:rsid w:val="003C5C8F"/>
    <w:rsid w:val="003D06C8"/>
    <w:rsid w:val="003D55BF"/>
    <w:rsid w:val="00495C48"/>
    <w:rsid w:val="00496154"/>
    <w:rsid w:val="004B56E0"/>
    <w:rsid w:val="004F11F8"/>
    <w:rsid w:val="005005CC"/>
    <w:rsid w:val="00512C24"/>
    <w:rsid w:val="00543DBA"/>
    <w:rsid w:val="005902B1"/>
    <w:rsid w:val="00594966"/>
    <w:rsid w:val="005972EF"/>
    <w:rsid w:val="005B3634"/>
    <w:rsid w:val="006432D1"/>
    <w:rsid w:val="00647A75"/>
    <w:rsid w:val="0066225A"/>
    <w:rsid w:val="0066578F"/>
    <w:rsid w:val="00680194"/>
    <w:rsid w:val="006806D4"/>
    <w:rsid w:val="006B701C"/>
    <w:rsid w:val="006D20CA"/>
    <w:rsid w:val="006F60BB"/>
    <w:rsid w:val="007002A8"/>
    <w:rsid w:val="00704E81"/>
    <w:rsid w:val="0074117B"/>
    <w:rsid w:val="007A1AE9"/>
    <w:rsid w:val="007A5EDD"/>
    <w:rsid w:val="007A64EE"/>
    <w:rsid w:val="007A72E8"/>
    <w:rsid w:val="007A7738"/>
    <w:rsid w:val="007D6B57"/>
    <w:rsid w:val="00804B2F"/>
    <w:rsid w:val="008E36CE"/>
    <w:rsid w:val="008F28D7"/>
    <w:rsid w:val="009274C3"/>
    <w:rsid w:val="00955B74"/>
    <w:rsid w:val="00986096"/>
    <w:rsid w:val="0099150E"/>
    <w:rsid w:val="009B54A2"/>
    <w:rsid w:val="009B64BA"/>
    <w:rsid w:val="00A00D3E"/>
    <w:rsid w:val="00A0652A"/>
    <w:rsid w:val="00A40E41"/>
    <w:rsid w:val="00A51010"/>
    <w:rsid w:val="00A552B3"/>
    <w:rsid w:val="00AB3C63"/>
    <w:rsid w:val="00AB6D78"/>
    <w:rsid w:val="00AC2869"/>
    <w:rsid w:val="00AD4582"/>
    <w:rsid w:val="00AD6CAC"/>
    <w:rsid w:val="00AF26E7"/>
    <w:rsid w:val="00AF3F85"/>
    <w:rsid w:val="00B01265"/>
    <w:rsid w:val="00B30EF9"/>
    <w:rsid w:val="00B51757"/>
    <w:rsid w:val="00B71628"/>
    <w:rsid w:val="00B8505C"/>
    <w:rsid w:val="00BE046E"/>
    <w:rsid w:val="00C05897"/>
    <w:rsid w:val="00C70162"/>
    <w:rsid w:val="00CB440A"/>
    <w:rsid w:val="00CB493B"/>
    <w:rsid w:val="00CC04F7"/>
    <w:rsid w:val="00CD433C"/>
    <w:rsid w:val="00D1777A"/>
    <w:rsid w:val="00D3481E"/>
    <w:rsid w:val="00D37357"/>
    <w:rsid w:val="00D43194"/>
    <w:rsid w:val="00D61D79"/>
    <w:rsid w:val="00DF031E"/>
    <w:rsid w:val="00E120D9"/>
    <w:rsid w:val="00E14F63"/>
    <w:rsid w:val="00E25903"/>
    <w:rsid w:val="00E35258"/>
    <w:rsid w:val="00E355BA"/>
    <w:rsid w:val="00E42CB8"/>
    <w:rsid w:val="00E52861"/>
    <w:rsid w:val="00E712D3"/>
    <w:rsid w:val="00E90677"/>
    <w:rsid w:val="00EB6D10"/>
    <w:rsid w:val="00F62DE1"/>
    <w:rsid w:val="00F65A05"/>
    <w:rsid w:val="00F754A8"/>
    <w:rsid w:val="00FE5B21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199D8"/>
  <w14:defaultImageDpi w14:val="300"/>
  <w15:docId w15:val="{61C09F73-E8CB-4BF7-8852-CE41EFB8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B64B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64BA"/>
  </w:style>
  <w:style w:type="character" w:customStyle="1" w:styleId="CommentaireCar">
    <w:name w:val="Commentaire Car"/>
    <w:basedOn w:val="Policepardfaut"/>
    <w:link w:val="Commentaire"/>
    <w:uiPriority w:val="99"/>
    <w:semiHidden/>
    <w:rsid w:val="009B64B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4B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4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4B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4BA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F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B.</dc:creator>
  <cp:keywords/>
  <dc:description/>
  <cp:lastModifiedBy>Natacha Duroisin</cp:lastModifiedBy>
  <cp:revision>4</cp:revision>
  <dcterms:created xsi:type="dcterms:W3CDTF">2016-02-16T08:02:00Z</dcterms:created>
  <dcterms:modified xsi:type="dcterms:W3CDTF">2016-03-24T09:30:00Z</dcterms:modified>
</cp:coreProperties>
</file>