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D3" w:rsidRPr="000E2BD3" w:rsidRDefault="000E2BD3" w:rsidP="005F6C63">
      <w:pPr>
        <w:jc w:val="both"/>
      </w:pPr>
      <w:r w:rsidRPr="000E2BD3">
        <w:t>Première communication</w:t>
      </w:r>
    </w:p>
    <w:p w:rsidR="000E2BD3" w:rsidRDefault="000E2BD3" w:rsidP="005F6C63">
      <w:pPr>
        <w:jc w:val="both"/>
        <w:rPr>
          <w:u w:val="single"/>
        </w:rPr>
      </w:pPr>
    </w:p>
    <w:p w:rsidR="005F6C63" w:rsidRPr="00B96CBF" w:rsidRDefault="005F6C63" w:rsidP="005F6C63">
      <w:pPr>
        <w:jc w:val="both"/>
        <w:rPr>
          <w:u w:val="single"/>
        </w:rPr>
      </w:pPr>
      <w:r w:rsidRPr="00B96CBF">
        <w:rPr>
          <w:u w:val="single"/>
        </w:rPr>
        <w:t>Utilisation multimodale des interfaces tactiles</w:t>
      </w:r>
    </w:p>
    <w:p w:rsidR="005F6C63" w:rsidRDefault="005F6C63" w:rsidP="005F6C63">
      <w:pPr>
        <w:jc w:val="both"/>
      </w:pPr>
    </w:p>
    <w:p w:rsidR="00755134" w:rsidRDefault="00755134" w:rsidP="00755134">
      <w:pPr>
        <w:jc w:val="both"/>
      </w:pPr>
      <w:r>
        <w:t>Natacha Duroisin</w:t>
      </w:r>
    </w:p>
    <w:p w:rsidR="00755134" w:rsidRDefault="00755134" w:rsidP="00755134">
      <w:pPr>
        <w:jc w:val="both"/>
      </w:pPr>
      <w:hyperlink r:id="rId4" w:history="1">
        <w:r w:rsidRPr="00B0655C">
          <w:rPr>
            <w:rStyle w:val="Lienhypertexte"/>
          </w:rPr>
          <w:t>Natacha.duroisin@umons.ac.be</w:t>
        </w:r>
      </w:hyperlink>
    </w:p>
    <w:p w:rsidR="00755134" w:rsidRDefault="00755134" w:rsidP="00755134">
      <w:pPr>
        <w:jc w:val="both"/>
      </w:pPr>
      <w:r>
        <w:t>Université de Mons</w:t>
      </w:r>
    </w:p>
    <w:p w:rsidR="00755134" w:rsidRDefault="00755134" w:rsidP="005F6C63">
      <w:pPr>
        <w:jc w:val="both"/>
      </w:pPr>
    </w:p>
    <w:p w:rsidR="000E2BD3" w:rsidRDefault="000E2BD3" w:rsidP="005F6C63">
      <w:pPr>
        <w:jc w:val="both"/>
      </w:pPr>
      <w:bookmarkStart w:id="0" w:name="_GoBack"/>
      <w:bookmarkEnd w:id="0"/>
      <w:r>
        <w:t>Aurélien Fièvez</w:t>
      </w:r>
    </w:p>
    <w:p w:rsidR="000E2BD3" w:rsidRDefault="00755134" w:rsidP="005F6C63">
      <w:pPr>
        <w:jc w:val="both"/>
      </w:pPr>
      <w:hyperlink r:id="rId5" w:history="1">
        <w:r w:rsidR="000E2BD3" w:rsidRPr="00B0655C">
          <w:rPr>
            <w:rStyle w:val="Lienhypertexte"/>
          </w:rPr>
          <w:t>aurelien.fievez@umontreal.ca</w:t>
        </w:r>
      </w:hyperlink>
    </w:p>
    <w:p w:rsidR="000E2BD3" w:rsidRDefault="000E2BD3" w:rsidP="005F6C63">
      <w:pPr>
        <w:jc w:val="both"/>
      </w:pPr>
      <w:r>
        <w:t>Université de Montréal</w:t>
      </w:r>
    </w:p>
    <w:p w:rsidR="000E2BD3" w:rsidRDefault="000E2BD3" w:rsidP="005F6C63">
      <w:pPr>
        <w:jc w:val="both"/>
      </w:pPr>
    </w:p>
    <w:p w:rsidR="000C2DD1" w:rsidRDefault="000C2DD1" w:rsidP="000C2DD1">
      <w:pPr>
        <w:jc w:val="both"/>
      </w:pPr>
      <w:r>
        <w:t>Gabriel Dumouchel</w:t>
      </w:r>
    </w:p>
    <w:p w:rsidR="000C2DD1" w:rsidRDefault="000C2DD1" w:rsidP="000C2DD1">
      <w:pPr>
        <w:jc w:val="both"/>
      </w:pPr>
      <w:r>
        <w:t>Université de Montréal</w:t>
      </w:r>
    </w:p>
    <w:p w:rsidR="000C2DD1" w:rsidRDefault="00755134" w:rsidP="000C2DD1">
      <w:pPr>
        <w:jc w:val="both"/>
      </w:pPr>
      <w:hyperlink r:id="rId6" w:history="1">
        <w:r w:rsidR="000C2DD1">
          <w:rPr>
            <w:rStyle w:val="Lienhypertexte"/>
          </w:rPr>
          <w:t>gabriel.dumouchel@umontreal.ca</w:t>
        </w:r>
      </w:hyperlink>
    </w:p>
    <w:p w:rsidR="000C2DD1" w:rsidRDefault="000C2DD1" w:rsidP="005F6C63">
      <w:pPr>
        <w:jc w:val="both"/>
      </w:pPr>
    </w:p>
    <w:p w:rsidR="000E2BD3" w:rsidRPr="00B96CBF" w:rsidRDefault="000E2BD3" w:rsidP="005F6C63">
      <w:pPr>
        <w:jc w:val="both"/>
      </w:pPr>
    </w:p>
    <w:p w:rsidR="00B92F4A" w:rsidRDefault="00D664DF" w:rsidP="000E2BD3">
      <w:pPr>
        <w:jc w:val="both"/>
      </w:pPr>
      <w:r w:rsidRPr="00EE2BAF">
        <w:t>L’utilisation des interfaces tactiles est de plus en plus visible dans les salles de classe d’Europe et d’Amérique du Nord. Qu’il s’agisse du tableau blanc interactif (TBI) ou de la tablette, leur utilisation est exponentielle et demande des usages spécifiques selon différent</w:t>
      </w:r>
      <w:r>
        <w:t>es modalité</w:t>
      </w:r>
      <w:r w:rsidRPr="00EE2BAF">
        <w:t>s (Lefebvre &amp; Samson, 2013; Ferrière et al., 2013). De fait, l’intégration de ces nouvelles technologies induit des modifications dans les activités d’enseignement et d’apprentissage</w:t>
      </w:r>
      <w:r>
        <w:t xml:space="preserve"> (</w:t>
      </w:r>
      <w:r>
        <w:rPr>
          <w:lang w:val="fr-FR"/>
        </w:rPr>
        <w:t>Wishard, 2015)</w:t>
      </w:r>
      <w:r w:rsidRPr="00EE2BAF">
        <w:t xml:space="preserve">. Elles modifient en profondeur l’administration et la gestion quotidienne de l’enseignement. </w:t>
      </w:r>
      <w:r>
        <w:t>Il est également mis en évidence que</w:t>
      </w:r>
      <w:r w:rsidRPr="00EE2BAF">
        <w:t xml:space="preserve"> les activités menées agissent (ou non) en synergie avec les outils utilisés</w:t>
      </w:r>
      <w:r>
        <w:t xml:space="preserve"> (</w:t>
      </w:r>
      <w:r w:rsidRPr="00C54AEE">
        <w:t>Penny et al., 2011</w:t>
      </w:r>
      <w:r>
        <w:t>)</w:t>
      </w:r>
      <w:r w:rsidRPr="00EE2BAF">
        <w:t>. Ceux-ci, en considérant leurs caractéristiques intrinsèques, montrent une plus-value pédagogique s’ils sont utilisés pour des activités précises</w:t>
      </w:r>
      <w:r>
        <w:t xml:space="preserve"> et justifiées</w:t>
      </w:r>
      <w:r w:rsidRPr="00EE2BAF">
        <w:t xml:space="preserve"> (Erstad et Arnseth, 2013). </w:t>
      </w:r>
      <w:r>
        <w:t>Devant ces réalités multiples, des</w:t>
      </w:r>
      <w:r w:rsidRPr="00EE2BAF">
        <w:t xml:space="preserve"> questionnements ont été explicités : quels sont les usages efficients de la tablette tactile et du TBI en salle de classe ? Quelle plus</w:t>
      </w:r>
      <w:r>
        <w:t>-</w:t>
      </w:r>
      <w:r w:rsidRPr="00EE2BAF">
        <w:t>value pédagogique apportent-ils ? Quelles sont les combinaisons possib</w:t>
      </w:r>
      <w:r>
        <w:t>les entre ces outils ? À la suite de ces questionnements et selon une méthodologie mixte</w:t>
      </w:r>
      <w:r w:rsidRPr="00EE2BAF">
        <w:t>, nous avons analysé les usages de la tablette tactile et du TBI en salle de classe</w:t>
      </w:r>
      <w:r>
        <w:t>. En corolaire, nous avons également analysé les usages de ces outils en fonction des aspects combinatoires envisagés</w:t>
      </w:r>
      <w:r w:rsidRPr="00EE2BAF">
        <w:t xml:space="preserve">. </w:t>
      </w:r>
      <w:r w:rsidRPr="005911F5">
        <w:t xml:space="preserve">Les résultats </w:t>
      </w:r>
      <w:r>
        <w:t xml:space="preserve">préliminaires issus de nos recherches </w:t>
      </w:r>
      <w:r w:rsidRPr="005911F5">
        <w:t xml:space="preserve">mettent en évidence que l’utilisation de </w:t>
      </w:r>
      <w:r>
        <w:t>ces outils induit</w:t>
      </w:r>
      <w:r w:rsidRPr="005911F5">
        <w:t xml:space="preserve"> des usages pédagogiques novateurs qui facilitent l’enseignement et favorisent l’apprentissage des élèves. Cependant, nous constatons que </w:t>
      </w:r>
      <w:r>
        <w:t>ces outils</w:t>
      </w:r>
      <w:r w:rsidRPr="005911F5">
        <w:t xml:space="preserve"> </w:t>
      </w:r>
      <w:r>
        <w:t>ne sont pas toujours utilisés</w:t>
      </w:r>
      <w:r w:rsidRPr="005911F5">
        <w:t xml:space="preserve"> à </w:t>
      </w:r>
      <w:r>
        <w:t>leur</w:t>
      </w:r>
      <w:r w:rsidRPr="005911F5">
        <w:t xml:space="preserve"> plein potentiel et que certains usages devraient être envisagés selon une perspective plus efficiente et adaptée.</w:t>
      </w:r>
      <w:r w:rsidRPr="003C5100">
        <w:t xml:space="preserve"> </w:t>
      </w:r>
      <w:r w:rsidRPr="00EE2BAF">
        <w:t>L’objectif de cette communication est donc de présenter l’intérêt des deux supports technologiques et de fournir des pistes concrètes de réflexion aux chercheurs et</w:t>
      </w:r>
      <w:r>
        <w:t xml:space="preserve"> </w:t>
      </w:r>
      <w:r w:rsidRPr="00EE2BAF">
        <w:t>enseignants. De manière plus précise, nous verrons comment l’usage exclusif, complémentaire ou combiné de ces outils permet de favoriser l’enseignement et l’apprentissage en fonction des activités visées.</w:t>
      </w:r>
    </w:p>
    <w:p w:rsidR="00D664DF" w:rsidRDefault="00D664DF" w:rsidP="000E2BD3">
      <w:pPr>
        <w:jc w:val="both"/>
      </w:pPr>
    </w:p>
    <w:p w:rsidR="00D664DF" w:rsidRPr="00D664DF" w:rsidRDefault="00D664DF" w:rsidP="00D664DF">
      <w:pPr>
        <w:jc w:val="both"/>
      </w:pPr>
      <w:r w:rsidRPr="00D664DF">
        <w:t xml:space="preserve">Erstad, O. et Arnseth, H.-C. (2013). Learning lives connected: Digital youth across school and community spaces. Communicar, 40(20), 89-98. Repéré à </w:t>
      </w:r>
      <w:hyperlink r:id="rId7" w:history="1">
        <w:r w:rsidRPr="00D664DF">
          <w:t>http://www.revistacomunicar.com</w:t>
        </w:r>
      </w:hyperlink>
    </w:p>
    <w:p w:rsidR="00D664DF" w:rsidRPr="00D664DF" w:rsidRDefault="00D664DF" w:rsidP="00D664DF">
      <w:pPr>
        <w:jc w:val="both"/>
      </w:pPr>
      <w:r w:rsidRPr="00D664DF">
        <w:t xml:space="preserve">Ferrière, S., Cottier, P., Lacroix, F., Lainé, A., &amp; Pulido, L. (2013). Dissémination de tablettes tactiles en primaire et discours des enseignants : entre rejet et adoption. Revue STICEF, 20. Repéré à </w:t>
      </w:r>
      <w:hyperlink r:id="rId8" w:history="1">
        <w:r w:rsidRPr="00D664DF">
          <w:t>http://sticef.org</w:t>
        </w:r>
      </w:hyperlink>
      <w:r w:rsidRPr="00D664DF">
        <w:t xml:space="preserve">    </w:t>
      </w:r>
    </w:p>
    <w:p w:rsidR="00D664DF" w:rsidRPr="00D664DF" w:rsidRDefault="00D664DF" w:rsidP="00D664DF">
      <w:pPr>
        <w:jc w:val="both"/>
      </w:pPr>
      <w:r w:rsidRPr="00D664DF">
        <w:lastRenderedPageBreak/>
        <w:t xml:space="preserve">Lefebvre, S., &amp; Samson, G. 2013). État des connaissances sur l’implantation du tableau numérique interactif (TNI) à l’école. Revue STICEF, 20. Repéré à </w:t>
      </w:r>
      <w:hyperlink r:id="rId9" w:history="1">
        <w:r w:rsidRPr="00D664DF">
          <w:t>http://sticef.org</w:t>
        </w:r>
      </w:hyperlink>
    </w:p>
    <w:p w:rsidR="00D664DF" w:rsidRPr="00D664DF" w:rsidRDefault="00D664DF" w:rsidP="00D664DF">
      <w:pPr>
        <w:jc w:val="both"/>
      </w:pPr>
      <w:r w:rsidRPr="00D664DF">
        <w:t xml:space="preserve">Penny, C., Shugar, J., McConatha, D., Bolton, D. et Taylor, P. (2011). The higher education classroom in the post PC era. Dans R. McBride et M. Searson (dir.), Proceedings of Society for Information Technology &amp; Teacher Education International Conference 2013 (p. 3760-3762). Chesapeake, VA: AACE. </w:t>
      </w:r>
    </w:p>
    <w:p w:rsidR="00D664DF" w:rsidRDefault="00D664DF" w:rsidP="00D664DF">
      <w:pPr>
        <w:jc w:val="both"/>
      </w:pPr>
      <w:r w:rsidRPr="00D664DF">
        <w:t>Wishard, L. (2015). All iPads, all the time: A qualitative study of High school teachers’ experiences with and perspectives on the use of exclusive technology (Thèse de doctorat, Capella University). Repéré à http://search.proquest.com/docview/1668131102</w:t>
      </w:r>
    </w:p>
    <w:sectPr w:rsidR="00D6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63"/>
    <w:rsid w:val="000C2DD1"/>
    <w:rsid w:val="000E2BD3"/>
    <w:rsid w:val="00447768"/>
    <w:rsid w:val="005F6C63"/>
    <w:rsid w:val="00755134"/>
    <w:rsid w:val="00B92F4A"/>
    <w:rsid w:val="00D664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6C30-1720-4BDC-8466-EF997A9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63"/>
    <w:pPr>
      <w:spacing w:after="0" w:line="240" w:lineRule="auto"/>
    </w:pPr>
    <w:rPr>
      <w:rFonts w:eastAsiaTheme="minorEastAsia"/>
      <w:noProof/>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ef.org/" TargetMode="External"/><Relationship Id="rId3" Type="http://schemas.openxmlformats.org/officeDocument/2006/relationships/webSettings" Target="webSettings.xml"/><Relationship Id="rId7" Type="http://schemas.openxmlformats.org/officeDocument/2006/relationships/hyperlink" Target="http://www.revistacomunic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dumouchel@umontreal.ca" TargetMode="External"/><Relationship Id="rId11" Type="http://schemas.openxmlformats.org/officeDocument/2006/relationships/theme" Target="theme/theme1.xml"/><Relationship Id="rId5" Type="http://schemas.openxmlformats.org/officeDocument/2006/relationships/hyperlink" Target="mailto:aurelien.fievez@umontreal.ca" TargetMode="External"/><Relationship Id="rId10" Type="http://schemas.openxmlformats.org/officeDocument/2006/relationships/fontTable" Target="fontTable.xml"/><Relationship Id="rId4" Type="http://schemas.openxmlformats.org/officeDocument/2006/relationships/hyperlink" Target="mailto:Natacha.duroisin@umons.ac.be" TargetMode="External"/><Relationship Id="rId9" Type="http://schemas.openxmlformats.org/officeDocument/2006/relationships/hyperlink" Target="http://stice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5</cp:revision>
  <dcterms:created xsi:type="dcterms:W3CDTF">2016-02-16T08:14:00Z</dcterms:created>
  <dcterms:modified xsi:type="dcterms:W3CDTF">2016-02-16T08:32:00Z</dcterms:modified>
</cp:coreProperties>
</file>