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281" w:rsidRDefault="00B00281" w:rsidP="00B00281">
      <w:pPr>
        <w:spacing w:before="100" w:beforeAutospacing="1" w:after="100" w:afterAutospacing="1"/>
        <w:jc w:val="both"/>
        <w:rPr>
          <w:b/>
          <w:bCs/>
          <w:i/>
          <w:iCs/>
          <w:lang w:val="fr-CA"/>
        </w:rPr>
      </w:pPr>
      <w:r>
        <w:t>Deuxième communication</w:t>
      </w:r>
    </w:p>
    <w:p w:rsidR="00B00281" w:rsidRDefault="00B00281" w:rsidP="00B00281">
      <w:pPr>
        <w:spacing w:before="100" w:beforeAutospacing="1" w:after="100" w:afterAutospacing="1"/>
        <w:jc w:val="both"/>
      </w:pPr>
      <w:r>
        <w:rPr>
          <w:b/>
          <w:bCs/>
          <w:i/>
          <w:iCs/>
          <w:lang w:val="fr-CA"/>
        </w:rPr>
        <w:t>L’écriture avec la tablette tactile : quels usages ? Quels processus ? Quelles perspectives ?  </w:t>
      </w:r>
    </w:p>
    <w:p w:rsidR="00B00281" w:rsidRDefault="00B00281" w:rsidP="00B00281">
      <w:pPr>
        <w:spacing w:before="100" w:beforeAutospacing="1" w:after="100" w:afterAutospacing="1"/>
        <w:jc w:val="both"/>
      </w:pPr>
      <w:bookmarkStart w:id="0" w:name="_GoBack"/>
      <w:bookmarkEnd w:id="0"/>
      <w:r>
        <w:rPr>
          <w:lang w:val="fr-CA"/>
        </w:rPr>
        <w:t xml:space="preserve">Les tablettes tactiles sont de plus en plus présentes en contexte éducatif, elles sont utilisées, chaque jour, pour des activités diverses dans les salles de classe, tant en Amérique du Nord qu’en Europe. </w:t>
      </w:r>
      <w:proofErr w:type="spellStart"/>
      <w:r>
        <w:rPr>
          <w:lang w:val="fr-CA"/>
        </w:rPr>
        <w:t>Phénomène</w:t>
      </w:r>
      <w:proofErr w:type="spellEnd"/>
      <w:r>
        <w:rPr>
          <w:lang w:val="fr-CA"/>
        </w:rPr>
        <w:t xml:space="preserve"> sans </w:t>
      </w:r>
      <w:proofErr w:type="spellStart"/>
      <w:r>
        <w:rPr>
          <w:lang w:val="fr-CA"/>
        </w:rPr>
        <w:t>précédent</w:t>
      </w:r>
      <w:proofErr w:type="spellEnd"/>
      <w:r>
        <w:rPr>
          <w:lang w:val="fr-CA"/>
        </w:rPr>
        <w:t xml:space="preserve">, la mise en place de cet outil </w:t>
      </w:r>
      <w:proofErr w:type="spellStart"/>
      <w:r>
        <w:rPr>
          <w:lang w:val="fr-CA"/>
        </w:rPr>
        <w:t>amène</w:t>
      </w:r>
      <w:proofErr w:type="spellEnd"/>
      <w:r>
        <w:rPr>
          <w:lang w:val="fr-CA"/>
        </w:rPr>
        <w:t xml:space="preserve"> des questionnements tant </w:t>
      </w:r>
      <w:proofErr w:type="spellStart"/>
      <w:r>
        <w:rPr>
          <w:lang w:val="fr-CA"/>
        </w:rPr>
        <w:t>pédagogiques</w:t>
      </w:r>
      <w:proofErr w:type="spellEnd"/>
      <w:r>
        <w:rPr>
          <w:lang w:val="fr-CA"/>
        </w:rPr>
        <w:t xml:space="preserve"> que disciplinaires (</w:t>
      </w:r>
      <w:proofErr w:type="spellStart"/>
      <w:r>
        <w:rPr>
          <w:lang w:val="fr-CA"/>
        </w:rPr>
        <w:t>Cubelic</w:t>
      </w:r>
      <w:proofErr w:type="spellEnd"/>
      <w:r>
        <w:rPr>
          <w:lang w:val="fr-CA"/>
        </w:rPr>
        <w:t xml:space="preserve"> et </w:t>
      </w:r>
      <w:proofErr w:type="spellStart"/>
      <w:r>
        <w:rPr>
          <w:lang w:val="fr-CA"/>
        </w:rPr>
        <w:t>Larwin</w:t>
      </w:r>
      <w:proofErr w:type="spellEnd"/>
      <w:r>
        <w:rPr>
          <w:lang w:val="fr-CA"/>
        </w:rPr>
        <w:t xml:space="preserve">, 2014). Bien que de nombreuses </w:t>
      </w:r>
      <w:proofErr w:type="spellStart"/>
      <w:r>
        <w:rPr>
          <w:lang w:val="fr-CA"/>
        </w:rPr>
        <w:t>études</w:t>
      </w:r>
      <w:proofErr w:type="spellEnd"/>
      <w:r>
        <w:rPr>
          <w:lang w:val="fr-CA"/>
        </w:rPr>
        <w:t xml:space="preserve"> mettent en </w:t>
      </w:r>
      <w:proofErr w:type="spellStart"/>
      <w:r>
        <w:rPr>
          <w:lang w:val="fr-CA"/>
        </w:rPr>
        <w:t>évidence</w:t>
      </w:r>
      <w:proofErr w:type="spellEnd"/>
      <w:r>
        <w:rPr>
          <w:lang w:val="fr-CA"/>
        </w:rPr>
        <w:t xml:space="preserve"> les effets (positifs ou négatifs) de l’utilisation des tablettes tactiles en milieu scolaire (</w:t>
      </w:r>
      <w:proofErr w:type="spellStart"/>
      <w:r>
        <w:rPr>
          <w:lang w:val="fr-FR"/>
        </w:rPr>
        <w:t>Khaddage</w:t>
      </w:r>
      <w:proofErr w:type="spellEnd"/>
      <w:r>
        <w:rPr>
          <w:lang w:val="fr-FR"/>
        </w:rPr>
        <w:t xml:space="preserve">, 2013; </w:t>
      </w:r>
      <w:proofErr w:type="spellStart"/>
      <w:r>
        <w:rPr>
          <w:lang w:val="fr-FR"/>
        </w:rPr>
        <w:t>Rouzé</w:t>
      </w:r>
      <w:proofErr w:type="spellEnd"/>
      <w:r>
        <w:rPr>
          <w:lang w:val="fr-FR"/>
        </w:rPr>
        <w:t>, 2012</w:t>
      </w:r>
      <w:r>
        <w:rPr>
          <w:lang w:val="fr-CA"/>
        </w:rPr>
        <w:t xml:space="preserve">), il reste que </w:t>
      </w:r>
      <w:proofErr w:type="spellStart"/>
      <w:r>
        <w:rPr>
          <w:lang w:val="fr-CA"/>
        </w:rPr>
        <w:t>très</w:t>
      </w:r>
      <w:proofErr w:type="spellEnd"/>
      <w:r>
        <w:rPr>
          <w:lang w:val="fr-CA"/>
        </w:rPr>
        <w:t xml:space="preserve"> peu de recherches se sont </w:t>
      </w:r>
      <w:proofErr w:type="spellStart"/>
      <w:r>
        <w:rPr>
          <w:lang w:val="fr-CA"/>
        </w:rPr>
        <w:t>penchées</w:t>
      </w:r>
      <w:proofErr w:type="spellEnd"/>
      <w:r>
        <w:rPr>
          <w:lang w:val="fr-CA"/>
        </w:rPr>
        <w:t xml:space="preserve"> sur son utilisation spécifique en écriture (Anderson, 2014; Samson, 2015; Sullivan, 2013). Les recherches actuelles (voir </w:t>
      </w:r>
      <w:proofErr w:type="spellStart"/>
      <w:r>
        <w:rPr>
          <w:lang w:val="fr-CA"/>
        </w:rPr>
        <w:t>Gregoire</w:t>
      </w:r>
      <w:proofErr w:type="spellEnd"/>
      <w:r>
        <w:rPr>
          <w:lang w:val="fr-CA"/>
        </w:rPr>
        <w:t xml:space="preserve">, 2011; </w:t>
      </w:r>
      <w:proofErr w:type="spellStart"/>
      <w:r>
        <w:rPr>
          <w:lang w:val="fr-CA"/>
        </w:rPr>
        <w:t>Pilkington</w:t>
      </w:r>
      <w:proofErr w:type="spellEnd"/>
      <w:r>
        <w:rPr>
          <w:lang w:val="fr-CA"/>
        </w:rPr>
        <w:t xml:space="preserve">, 2012) montrent que le fait d’utiliser un outil technologique, comme la tablette, apporte différents avantages, mais aussi différents défis. Ainsi, l’écriture numérique aurait un effet positif sur la quantité et la qualité des textes produits. Les élèves seraient également plus concentrés et plus motivés à réaliser des productions écrites. Cependant, nous constatons que la tablette est souvent plébiscitée pour des activités de consultation et moins pour des activités de production. Basée sur une étude longitudinale de trois ans, auprès de 26 044 élèves et 802 enseignants, cette présentation aura pour objectif d’identifier les usages et implications de la tablette tactile pour la réalisation de tâches d’écriture. En nous basant sur la littérature existante (voir </w:t>
      </w:r>
      <w:proofErr w:type="spellStart"/>
      <w:r>
        <w:rPr>
          <w:lang w:val="fr-CA"/>
        </w:rPr>
        <w:t>Nogri</w:t>
      </w:r>
      <w:proofErr w:type="spellEnd"/>
      <w:r>
        <w:rPr>
          <w:lang w:val="fr-CA"/>
        </w:rPr>
        <w:t xml:space="preserve"> et Séjourné, 2014; Rhodes, 2013; Sullivan, 2013; </w:t>
      </w:r>
      <w:proofErr w:type="spellStart"/>
      <w:r>
        <w:rPr>
          <w:lang w:val="fr-CA"/>
        </w:rPr>
        <w:t>Villemonteix</w:t>
      </w:r>
      <w:proofErr w:type="spellEnd"/>
      <w:r>
        <w:rPr>
          <w:lang w:val="fr-CA"/>
        </w:rPr>
        <w:t xml:space="preserve"> et </w:t>
      </w:r>
      <w:proofErr w:type="gramStart"/>
      <w:r>
        <w:rPr>
          <w:lang w:val="fr-CA"/>
        </w:rPr>
        <w:t>al.,</w:t>
      </w:r>
      <w:proofErr w:type="gramEnd"/>
      <w:r>
        <w:rPr>
          <w:lang w:val="fr-CA"/>
        </w:rPr>
        <w:t xml:space="preserve"> 2014) et nos résultats, nous avons cherché à répondre à quatre questions : 1) Quels sont les usages de la tablette tactile en salle de classe, pour des tâches d’écriture? 2) Quelles sont les implications instrumentales de l’outil? 3) Quels sont les processus mis en place? 4) Quels sont les effets (positifs et </w:t>
      </w:r>
      <w:proofErr w:type="spellStart"/>
      <w:r>
        <w:rPr>
          <w:lang w:val="fr-CA"/>
        </w:rPr>
        <w:t>négatifs</w:t>
      </w:r>
      <w:proofErr w:type="spellEnd"/>
      <w:r>
        <w:rPr>
          <w:lang w:val="fr-CA"/>
        </w:rPr>
        <w:t xml:space="preserve">) de l’utilisation de la tablette tactile lors de productions écrites? Pour ce faire, nous analyserons d’abord l’outil en tant que tel afin de </w:t>
      </w:r>
      <w:proofErr w:type="spellStart"/>
      <w:r>
        <w:rPr>
          <w:lang w:val="fr-CA"/>
        </w:rPr>
        <w:t>définir</w:t>
      </w:r>
      <w:proofErr w:type="spellEnd"/>
      <w:r>
        <w:rPr>
          <w:lang w:val="fr-CA"/>
        </w:rPr>
        <w:t xml:space="preserve"> quelles sont ses </w:t>
      </w:r>
      <w:proofErr w:type="spellStart"/>
      <w:r>
        <w:rPr>
          <w:lang w:val="fr-CA"/>
        </w:rPr>
        <w:t>potentialités</w:t>
      </w:r>
      <w:proofErr w:type="spellEnd"/>
      <w:r>
        <w:rPr>
          <w:lang w:val="fr-CA"/>
        </w:rPr>
        <w:t xml:space="preserve"> et implications </w:t>
      </w:r>
      <w:proofErr w:type="spellStart"/>
      <w:r>
        <w:rPr>
          <w:lang w:val="fr-CA"/>
        </w:rPr>
        <w:t>pédagogiques</w:t>
      </w:r>
      <w:proofErr w:type="spellEnd"/>
      <w:r>
        <w:rPr>
          <w:lang w:val="fr-CA"/>
        </w:rPr>
        <w:t xml:space="preserve"> pour ensuite </w:t>
      </w:r>
      <w:proofErr w:type="spellStart"/>
      <w:r>
        <w:rPr>
          <w:lang w:val="fr-CA"/>
        </w:rPr>
        <w:t>étudier</w:t>
      </w:r>
      <w:proofErr w:type="spellEnd"/>
      <w:r>
        <w:rPr>
          <w:lang w:val="fr-CA"/>
        </w:rPr>
        <w:t xml:space="preserve"> ses effets sur une salle de classe. In fine, il s’agira </w:t>
      </w:r>
      <w:proofErr w:type="spellStart"/>
      <w:r>
        <w:rPr>
          <w:lang w:val="fr-CA"/>
        </w:rPr>
        <w:t>également</w:t>
      </w:r>
      <w:proofErr w:type="spellEnd"/>
      <w:r>
        <w:rPr>
          <w:lang w:val="fr-CA"/>
        </w:rPr>
        <w:t xml:space="preserve"> de comprendre si l’outil trouve ou non sa pertinence dans le processus d’écriture et selon quelles </w:t>
      </w:r>
      <w:proofErr w:type="spellStart"/>
      <w:r>
        <w:rPr>
          <w:lang w:val="fr-CA"/>
        </w:rPr>
        <w:t>modalités</w:t>
      </w:r>
      <w:proofErr w:type="spellEnd"/>
      <w:r>
        <w:rPr>
          <w:lang w:val="fr-CA"/>
        </w:rPr>
        <w:t xml:space="preserve">. Cette présentation se situe donc dans l’identification et l’analyse des </w:t>
      </w:r>
      <w:proofErr w:type="spellStart"/>
      <w:r>
        <w:rPr>
          <w:lang w:val="fr-CA"/>
        </w:rPr>
        <w:t>mécanismes</w:t>
      </w:r>
      <w:proofErr w:type="spellEnd"/>
      <w:r>
        <w:rPr>
          <w:lang w:val="fr-CA"/>
        </w:rPr>
        <w:t xml:space="preserve"> d’appropriation des outils et de la transformation de ces </w:t>
      </w:r>
      <w:proofErr w:type="spellStart"/>
      <w:r>
        <w:rPr>
          <w:lang w:val="fr-CA"/>
        </w:rPr>
        <w:t>artéfacts</w:t>
      </w:r>
      <w:proofErr w:type="spellEnd"/>
      <w:r>
        <w:rPr>
          <w:lang w:val="fr-CA"/>
        </w:rPr>
        <w:t xml:space="preserve"> technologiques en des instruments de travail pertinents. Afin d’obtenir des </w:t>
      </w:r>
      <w:proofErr w:type="spellStart"/>
      <w:r>
        <w:rPr>
          <w:lang w:val="fr-CA"/>
        </w:rPr>
        <w:t>résultats</w:t>
      </w:r>
      <w:proofErr w:type="spellEnd"/>
      <w:r>
        <w:rPr>
          <w:lang w:val="fr-CA"/>
        </w:rPr>
        <w:t xml:space="preserve"> pour chacune de ces questions, nous </w:t>
      </w:r>
      <w:proofErr w:type="spellStart"/>
      <w:r>
        <w:rPr>
          <w:lang w:val="fr-CA"/>
        </w:rPr>
        <w:t>définirons</w:t>
      </w:r>
      <w:proofErr w:type="spellEnd"/>
      <w:r>
        <w:rPr>
          <w:lang w:val="fr-CA"/>
        </w:rPr>
        <w:t xml:space="preserve"> d’abord le contexte de la recherche, avec comme axes principaux les contextes des </w:t>
      </w:r>
      <w:proofErr w:type="spellStart"/>
      <w:r>
        <w:rPr>
          <w:lang w:val="fr-CA"/>
        </w:rPr>
        <w:t>expérimentations</w:t>
      </w:r>
      <w:proofErr w:type="spellEnd"/>
      <w:r>
        <w:rPr>
          <w:lang w:val="fr-CA"/>
        </w:rPr>
        <w:t xml:space="preserve"> </w:t>
      </w:r>
      <w:proofErr w:type="spellStart"/>
      <w:r>
        <w:rPr>
          <w:lang w:val="fr-CA"/>
        </w:rPr>
        <w:t>observées</w:t>
      </w:r>
      <w:proofErr w:type="spellEnd"/>
      <w:r>
        <w:rPr>
          <w:lang w:val="fr-CA"/>
        </w:rPr>
        <w:t xml:space="preserve"> et leur existence. Ensuite, nous exposerons la </w:t>
      </w:r>
      <w:proofErr w:type="spellStart"/>
      <w:r>
        <w:rPr>
          <w:lang w:val="fr-CA"/>
        </w:rPr>
        <w:t>procédure</w:t>
      </w:r>
      <w:proofErr w:type="spellEnd"/>
      <w:r>
        <w:rPr>
          <w:lang w:val="fr-CA"/>
        </w:rPr>
        <w:t xml:space="preserve"> de collecte de </w:t>
      </w:r>
      <w:proofErr w:type="spellStart"/>
      <w:r>
        <w:rPr>
          <w:lang w:val="fr-CA"/>
        </w:rPr>
        <w:t>données</w:t>
      </w:r>
      <w:proofErr w:type="spellEnd"/>
      <w:r>
        <w:rPr>
          <w:lang w:val="fr-CA"/>
        </w:rPr>
        <w:t xml:space="preserve"> et l’instrumentation </w:t>
      </w:r>
      <w:proofErr w:type="spellStart"/>
      <w:r>
        <w:rPr>
          <w:lang w:val="fr-CA"/>
        </w:rPr>
        <w:t>liée</w:t>
      </w:r>
      <w:proofErr w:type="spellEnd"/>
      <w:r>
        <w:rPr>
          <w:lang w:val="fr-CA"/>
        </w:rPr>
        <w:t xml:space="preserve">. À cette fin, nous mettrons en </w:t>
      </w:r>
      <w:proofErr w:type="spellStart"/>
      <w:r>
        <w:rPr>
          <w:lang w:val="fr-CA"/>
        </w:rPr>
        <w:t>évidence</w:t>
      </w:r>
      <w:proofErr w:type="spellEnd"/>
      <w:r>
        <w:rPr>
          <w:lang w:val="fr-CA"/>
        </w:rPr>
        <w:t xml:space="preserve"> la </w:t>
      </w:r>
      <w:proofErr w:type="spellStart"/>
      <w:r>
        <w:rPr>
          <w:lang w:val="fr-CA"/>
        </w:rPr>
        <w:t>méthodologie</w:t>
      </w:r>
      <w:proofErr w:type="spellEnd"/>
      <w:r>
        <w:rPr>
          <w:lang w:val="fr-CA"/>
        </w:rPr>
        <w:t xml:space="preserve"> mixte </w:t>
      </w:r>
      <w:proofErr w:type="spellStart"/>
      <w:r>
        <w:rPr>
          <w:lang w:val="fr-CA"/>
        </w:rPr>
        <w:t>utilisée</w:t>
      </w:r>
      <w:proofErr w:type="spellEnd"/>
      <w:r>
        <w:rPr>
          <w:lang w:val="fr-CA"/>
        </w:rPr>
        <w:t xml:space="preserve"> et nous expliciterons nos résultats. </w:t>
      </w:r>
    </w:p>
    <w:p w:rsidR="00B92F4A" w:rsidRDefault="00B00281" w:rsidP="00B00281">
      <w:pPr>
        <w:jc w:val="both"/>
        <w:rPr>
          <w:lang w:val="fr-FR"/>
        </w:rPr>
      </w:pPr>
      <w:r>
        <w:rPr>
          <w:lang w:val="fr-FR"/>
        </w:rPr>
        <w:t>L’analyse des données recueillies met en évidence que l’utilisation de la tablette tactile pour des tâches d’écriture montre des avantages techniques et pédagogiques, mais selon certaines conditions. Les résultats montrent également que les défis liés à son utilisation ne proviennent pas uniquement de l’instrument, mais surtout du contexte dans lequel cet outil est utilisé. En effet, il appartient à l’enseignant d’utiliser la tablette tactile dans une perspective efficiente et adaptée afin d’utiliser au maximum les potentialités de l’outil. À cette fin, différentes recommandations, issues des données de notre étude, viendront clore cette présentation.</w:t>
      </w:r>
    </w:p>
    <w:p w:rsidR="00CF198A" w:rsidRDefault="00CF198A" w:rsidP="00B00281">
      <w:pPr>
        <w:jc w:val="both"/>
        <w:rPr>
          <w:lang w:val="fr-FR"/>
        </w:rPr>
      </w:pPr>
    </w:p>
    <w:p w:rsidR="00CF198A" w:rsidRPr="00CF198A" w:rsidRDefault="00CF198A" w:rsidP="00CF198A">
      <w:pPr>
        <w:jc w:val="both"/>
        <w:rPr>
          <w:lang w:val="fr-FR"/>
        </w:rPr>
      </w:pPr>
      <w:proofErr w:type="spellStart"/>
      <w:r w:rsidRPr="00CF198A">
        <w:rPr>
          <w:lang w:val="fr-FR"/>
        </w:rPr>
        <w:t>Cubelic</w:t>
      </w:r>
      <w:proofErr w:type="spellEnd"/>
      <w:r w:rsidRPr="00CF198A">
        <w:rPr>
          <w:lang w:val="fr-FR"/>
        </w:rPr>
        <w:t xml:space="preserve">, C. et </w:t>
      </w:r>
      <w:proofErr w:type="spellStart"/>
      <w:r w:rsidRPr="00CF198A">
        <w:rPr>
          <w:lang w:val="fr-FR"/>
        </w:rPr>
        <w:t>Larwin</w:t>
      </w:r>
      <w:proofErr w:type="spellEnd"/>
      <w:r w:rsidRPr="00CF198A">
        <w:rPr>
          <w:lang w:val="fr-FR"/>
        </w:rPr>
        <w:t xml:space="preserve">, K. (2013). The use of iPad </w:t>
      </w:r>
      <w:proofErr w:type="spellStart"/>
      <w:r w:rsidRPr="00CF198A">
        <w:rPr>
          <w:lang w:val="fr-FR"/>
        </w:rPr>
        <w:t>technology</w:t>
      </w:r>
      <w:proofErr w:type="spellEnd"/>
      <w:r w:rsidRPr="00CF198A">
        <w:rPr>
          <w:lang w:val="fr-FR"/>
        </w:rPr>
        <w:t xml:space="preserve"> in the </w:t>
      </w:r>
      <w:proofErr w:type="spellStart"/>
      <w:r w:rsidRPr="00CF198A">
        <w:rPr>
          <w:lang w:val="fr-FR"/>
        </w:rPr>
        <w:t>kindergarten</w:t>
      </w:r>
      <w:proofErr w:type="spellEnd"/>
      <w:r w:rsidRPr="00CF198A">
        <w:rPr>
          <w:lang w:val="fr-FR"/>
        </w:rPr>
        <w:t xml:space="preserve"> </w:t>
      </w:r>
      <w:proofErr w:type="spellStart"/>
      <w:r w:rsidRPr="00CF198A">
        <w:rPr>
          <w:lang w:val="fr-FR"/>
        </w:rPr>
        <w:t>classroom</w:t>
      </w:r>
      <w:proofErr w:type="spellEnd"/>
      <w:r w:rsidRPr="00CF198A">
        <w:rPr>
          <w:lang w:val="fr-FR"/>
        </w:rPr>
        <w:t>: A quasi-</w:t>
      </w:r>
      <w:proofErr w:type="spellStart"/>
      <w:r w:rsidRPr="00CF198A">
        <w:rPr>
          <w:lang w:val="fr-FR"/>
        </w:rPr>
        <w:t>experimental</w:t>
      </w:r>
      <w:proofErr w:type="spellEnd"/>
      <w:r w:rsidRPr="00CF198A">
        <w:rPr>
          <w:lang w:val="fr-FR"/>
        </w:rPr>
        <w:t xml:space="preserve"> investigation of the impact on </w:t>
      </w:r>
      <w:proofErr w:type="spellStart"/>
      <w:r w:rsidRPr="00CF198A">
        <w:rPr>
          <w:lang w:val="fr-FR"/>
        </w:rPr>
        <w:t>early</w:t>
      </w:r>
      <w:proofErr w:type="spellEnd"/>
      <w:r w:rsidRPr="00CF198A">
        <w:rPr>
          <w:lang w:val="fr-FR"/>
        </w:rPr>
        <w:t xml:space="preserve"> </w:t>
      </w:r>
      <w:proofErr w:type="spellStart"/>
      <w:r w:rsidRPr="00CF198A">
        <w:rPr>
          <w:lang w:val="fr-FR"/>
        </w:rPr>
        <w:t>literacy</w:t>
      </w:r>
      <w:proofErr w:type="spellEnd"/>
      <w:r w:rsidRPr="00CF198A">
        <w:rPr>
          <w:lang w:val="fr-FR"/>
        </w:rPr>
        <w:t xml:space="preserve"> </w:t>
      </w:r>
      <w:proofErr w:type="spellStart"/>
      <w:r w:rsidRPr="00CF198A">
        <w:rPr>
          <w:lang w:val="fr-FR"/>
        </w:rPr>
        <w:t>skills</w:t>
      </w:r>
      <w:proofErr w:type="spellEnd"/>
      <w:r w:rsidRPr="00CF198A">
        <w:rPr>
          <w:lang w:val="fr-FR"/>
        </w:rPr>
        <w:t xml:space="preserve">. </w:t>
      </w:r>
      <w:proofErr w:type="spellStart"/>
      <w:r w:rsidRPr="00CF198A">
        <w:rPr>
          <w:lang w:val="fr-FR"/>
        </w:rPr>
        <w:t>Comprehensive</w:t>
      </w:r>
      <w:proofErr w:type="spellEnd"/>
      <w:r w:rsidRPr="00CF198A">
        <w:rPr>
          <w:lang w:val="fr-FR"/>
        </w:rPr>
        <w:t xml:space="preserve"> Journal of </w:t>
      </w:r>
      <w:proofErr w:type="spellStart"/>
      <w:r w:rsidRPr="00CF198A">
        <w:rPr>
          <w:lang w:val="fr-FR"/>
        </w:rPr>
        <w:t>Educational</w:t>
      </w:r>
      <w:proofErr w:type="spellEnd"/>
      <w:r w:rsidRPr="00CF198A">
        <w:rPr>
          <w:lang w:val="fr-FR"/>
        </w:rPr>
        <w:t xml:space="preserve"> </w:t>
      </w:r>
      <w:proofErr w:type="spellStart"/>
      <w:r w:rsidRPr="00CF198A">
        <w:rPr>
          <w:lang w:val="fr-FR"/>
        </w:rPr>
        <w:t>Research</w:t>
      </w:r>
      <w:proofErr w:type="spellEnd"/>
      <w:r w:rsidRPr="00CF198A">
        <w:rPr>
          <w:lang w:val="fr-FR"/>
        </w:rPr>
        <w:t xml:space="preserve">, 2(4), 47-59. Repéré à </w:t>
      </w:r>
      <w:hyperlink r:id="rId4" w:history="1">
        <w:r w:rsidRPr="00CF198A">
          <w:t>http://www.knowledgebasepublishers.org/cjerpdf/2014/JAN/Cathleen%20and%20Ka</w:t>
        </w:r>
      </w:hyperlink>
      <w:r w:rsidRPr="00CF198A">
        <w:rPr>
          <w:lang w:val="fr-FR"/>
        </w:rPr>
        <w:t xml:space="preserve"> ren.pdf </w:t>
      </w:r>
    </w:p>
    <w:p w:rsidR="00CF198A" w:rsidRPr="00CF198A" w:rsidRDefault="00CF198A" w:rsidP="00CF198A">
      <w:pPr>
        <w:jc w:val="both"/>
        <w:rPr>
          <w:lang w:val="fr-FR"/>
        </w:rPr>
      </w:pPr>
      <w:r w:rsidRPr="00CF198A">
        <w:rPr>
          <w:lang w:val="fr-FR"/>
        </w:rPr>
        <w:t xml:space="preserve">Grégoire, P. et </w:t>
      </w:r>
      <w:proofErr w:type="spellStart"/>
      <w:r w:rsidRPr="00CF198A">
        <w:rPr>
          <w:lang w:val="fr-FR"/>
        </w:rPr>
        <w:t>Karsenti</w:t>
      </w:r>
      <w:proofErr w:type="spellEnd"/>
      <w:r w:rsidRPr="00CF198A">
        <w:rPr>
          <w:lang w:val="fr-FR"/>
        </w:rPr>
        <w:t>, T. (2013). L'impact du traitement de texte sur la qualité de l'écriture d'élèves du secondaire au Québec. Éducation &amp; Formation, 297.</w:t>
      </w:r>
    </w:p>
    <w:p w:rsidR="00CF198A" w:rsidRPr="00CF198A" w:rsidRDefault="00CF198A" w:rsidP="00CF198A">
      <w:pPr>
        <w:jc w:val="both"/>
        <w:rPr>
          <w:lang w:val="fr-FR"/>
        </w:rPr>
      </w:pPr>
      <w:proofErr w:type="spellStart"/>
      <w:r w:rsidRPr="00CF198A">
        <w:rPr>
          <w:lang w:val="fr-FR"/>
        </w:rPr>
        <w:lastRenderedPageBreak/>
        <w:t>Khaddage</w:t>
      </w:r>
      <w:proofErr w:type="spellEnd"/>
      <w:r w:rsidRPr="00CF198A">
        <w:rPr>
          <w:lang w:val="fr-FR"/>
        </w:rPr>
        <w:t xml:space="preserve">, F. (2013). The iPad global </w:t>
      </w:r>
      <w:proofErr w:type="spellStart"/>
      <w:r w:rsidRPr="00CF198A">
        <w:rPr>
          <w:lang w:val="fr-FR"/>
        </w:rPr>
        <w:t>embrace</w:t>
      </w:r>
      <w:proofErr w:type="spellEnd"/>
      <w:r w:rsidRPr="00CF198A">
        <w:rPr>
          <w:lang w:val="fr-FR"/>
        </w:rPr>
        <w:t xml:space="preserve">! Are </w:t>
      </w:r>
      <w:proofErr w:type="spellStart"/>
      <w:r w:rsidRPr="00CF198A">
        <w:rPr>
          <w:lang w:val="fr-FR"/>
        </w:rPr>
        <w:t>we</w:t>
      </w:r>
      <w:proofErr w:type="spellEnd"/>
      <w:r w:rsidRPr="00CF198A">
        <w:rPr>
          <w:lang w:val="fr-FR"/>
        </w:rPr>
        <w:t xml:space="preserve"> </w:t>
      </w:r>
      <w:proofErr w:type="spellStart"/>
      <w:r w:rsidRPr="00CF198A">
        <w:rPr>
          <w:lang w:val="fr-FR"/>
        </w:rPr>
        <w:t>branding</w:t>
      </w:r>
      <w:proofErr w:type="spellEnd"/>
      <w:r w:rsidRPr="00CF198A">
        <w:rPr>
          <w:lang w:val="fr-FR"/>
        </w:rPr>
        <w:t xml:space="preserve"> mobile </w:t>
      </w:r>
      <w:proofErr w:type="spellStart"/>
      <w:r w:rsidRPr="00CF198A">
        <w:rPr>
          <w:lang w:val="fr-FR"/>
        </w:rPr>
        <w:t>learning</w:t>
      </w:r>
      <w:proofErr w:type="spellEnd"/>
      <w:r w:rsidRPr="00CF198A">
        <w:rPr>
          <w:lang w:val="fr-FR"/>
        </w:rPr>
        <w:t xml:space="preserve">? Dans R. McBride et M. </w:t>
      </w:r>
      <w:proofErr w:type="spellStart"/>
      <w:r w:rsidRPr="00CF198A">
        <w:rPr>
          <w:lang w:val="fr-FR"/>
        </w:rPr>
        <w:t>Searson</w:t>
      </w:r>
      <w:proofErr w:type="spellEnd"/>
      <w:r w:rsidRPr="00CF198A">
        <w:rPr>
          <w:lang w:val="fr-FR"/>
        </w:rPr>
        <w:t xml:space="preserve"> (</w:t>
      </w:r>
      <w:proofErr w:type="spellStart"/>
      <w:r w:rsidRPr="00CF198A">
        <w:rPr>
          <w:lang w:val="fr-FR"/>
        </w:rPr>
        <w:t>dir</w:t>
      </w:r>
      <w:proofErr w:type="spellEnd"/>
      <w:r w:rsidRPr="00CF198A">
        <w:rPr>
          <w:lang w:val="fr-FR"/>
        </w:rPr>
        <w:t xml:space="preserve">.), </w:t>
      </w:r>
      <w:proofErr w:type="spellStart"/>
      <w:r w:rsidRPr="00CF198A">
        <w:rPr>
          <w:lang w:val="fr-FR"/>
        </w:rPr>
        <w:t>Proceedings</w:t>
      </w:r>
      <w:proofErr w:type="spellEnd"/>
      <w:r w:rsidRPr="00CF198A">
        <w:rPr>
          <w:lang w:val="fr-FR"/>
        </w:rPr>
        <w:t xml:space="preserve"> of Society for Information </w:t>
      </w:r>
      <w:proofErr w:type="spellStart"/>
      <w:r w:rsidRPr="00CF198A">
        <w:rPr>
          <w:lang w:val="fr-FR"/>
        </w:rPr>
        <w:t>Technology</w:t>
      </w:r>
      <w:proofErr w:type="spellEnd"/>
      <w:r w:rsidRPr="00CF198A">
        <w:rPr>
          <w:lang w:val="fr-FR"/>
        </w:rPr>
        <w:t xml:space="preserve"> &amp; Teacher Education International </w:t>
      </w:r>
      <w:proofErr w:type="spellStart"/>
      <w:r w:rsidRPr="00CF198A">
        <w:rPr>
          <w:lang w:val="fr-FR"/>
        </w:rPr>
        <w:t>Conference</w:t>
      </w:r>
      <w:proofErr w:type="spellEnd"/>
      <w:r w:rsidRPr="00CF198A">
        <w:rPr>
          <w:lang w:val="fr-FR"/>
        </w:rPr>
        <w:t xml:space="preserve"> 2013 (p. 3234-3240). Chesapeake, VA: AACE. </w:t>
      </w:r>
    </w:p>
    <w:p w:rsidR="00CF198A" w:rsidRPr="00CF198A" w:rsidRDefault="00CF198A" w:rsidP="00CF198A">
      <w:pPr>
        <w:jc w:val="both"/>
        <w:rPr>
          <w:lang w:val="fr-FR"/>
        </w:rPr>
      </w:pPr>
      <w:r w:rsidRPr="00CF198A">
        <w:rPr>
          <w:lang w:val="fr-FR"/>
        </w:rPr>
        <w:t xml:space="preserve">Rhodes, J. A. (2013). </w:t>
      </w:r>
      <w:proofErr w:type="spellStart"/>
      <w:r w:rsidRPr="00CF198A">
        <w:rPr>
          <w:lang w:val="fr-FR"/>
        </w:rPr>
        <w:t>Exploring</w:t>
      </w:r>
      <w:proofErr w:type="spellEnd"/>
      <w:r w:rsidRPr="00CF198A">
        <w:rPr>
          <w:lang w:val="fr-FR"/>
        </w:rPr>
        <w:t xml:space="preserve"> </w:t>
      </w:r>
      <w:proofErr w:type="spellStart"/>
      <w:r w:rsidRPr="00CF198A">
        <w:rPr>
          <w:lang w:val="fr-FR"/>
        </w:rPr>
        <w:t>writing</w:t>
      </w:r>
      <w:proofErr w:type="spellEnd"/>
      <w:r w:rsidRPr="00CF198A">
        <w:rPr>
          <w:lang w:val="fr-FR"/>
        </w:rPr>
        <w:t xml:space="preserve"> </w:t>
      </w:r>
      <w:proofErr w:type="spellStart"/>
      <w:r w:rsidRPr="00CF198A">
        <w:rPr>
          <w:lang w:val="fr-FR"/>
        </w:rPr>
        <w:t>with</w:t>
      </w:r>
      <w:proofErr w:type="spellEnd"/>
      <w:r w:rsidRPr="00CF198A">
        <w:rPr>
          <w:lang w:val="fr-FR"/>
        </w:rPr>
        <w:t xml:space="preserve"> iPads: </w:t>
      </w:r>
      <w:proofErr w:type="spellStart"/>
      <w:r w:rsidRPr="00CF198A">
        <w:rPr>
          <w:lang w:val="fr-FR"/>
        </w:rPr>
        <w:t>instructional</w:t>
      </w:r>
      <w:proofErr w:type="spellEnd"/>
      <w:r w:rsidRPr="00CF198A">
        <w:rPr>
          <w:lang w:val="fr-FR"/>
        </w:rPr>
        <w:t xml:space="preserve"> change for </w:t>
      </w:r>
      <w:proofErr w:type="spellStart"/>
      <w:r w:rsidRPr="00CF198A">
        <w:rPr>
          <w:lang w:val="fr-FR"/>
        </w:rPr>
        <w:t>pre</w:t>
      </w:r>
      <w:proofErr w:type="spellEnd"/>
      <w:r w:rsidRPr="00CF198A">
        <w:rPr>
          <w:lang w:val="fr-FR"/>
        </w:rPr>
        <w:t xml:space="preserve">-service </w:t>
      </w:r>
      <w:proofErr w:type="spellStart"/>
      <w:r w:rsidRPr="00CF198A">
        <w:rPr>
          <w:lang w:val="fr-FR"/>
        </w:rPr>
        <w:t>educators</w:t>
      </w:r>
      <w:proofErr w:type="spellEnd"/>
      <w:r w:rsidRPr="00CF198A">
        <w:rPr>
          <w:lang w:val="fr-FR"/>
        </w:rPr>
        <w:t xml:space="preserve">. In K. E. </w:t>
      </w:r>
      <w:proofErr w:type="spellStart"/>
      <w:r w:rsidRPr="00CF198A">
        <w:rPr>
          <w:lang w:val="fr-FR"/>
        </w:rPr>
        <w:t>Pytash</w:t>
      </w:r>
      <w:proofErr w:type="spellEnd"/>
      <w:r w:rsidRPr="00CF198A">
        <w:rPr>
          <w:lang w:val="fr-FR"/>
        </w:rPr>
        <w:t xml:space="preserve">, R. E. </w:t>
      </w:r>
      <w:proofErr w:type="spellStart"/>
      <w:r w:rsidRPr="00CF198A">
        <w:rPr>
          <w:lang w:val="fr-FR"/>
        </w:rPr>
        <w:t>Ferdig</w:t>
      </w:r>
      <w:proofErr w:type="spellEnd"/>
      <w:r w:rsidRPr="00CF198A">
        <w:rPr>
          <w:lang w:val="fr-FR"/>
        </w:rPr>
        <w:t xml:space="preserve"> et T. V. </w:t>
      </w:r>
      <w:proofErr w:type="spellStart"/>
      <w:r w:rsidRPr="00CF198A">
        <w:rPr>
          <w:lang w:val="fr-FR"/>
        </w:rPr>
        <w:t>Rasinki</w:t>
      </w:r>
      <w:proofErr w:type="spellEnd"/>
      <w:r w:rsidRPr="00CF198A">
        <w:rPr>
          <w:lang w:val="fr-FR"/>
        </w:rPr>
        <w:t xml:space="preserve"> (éd.), </w:t>
      </w:r>
      <w:proofErr w:type="spellStart"/>
      <w:r w:rsidRPr="00CF198A">
        <w:rPr>
          <w:lang w:val="fr-FR"/>
        </w:rPr>
        <w:t>Preparing</w:t>
      </w:r>
      <w:proofErr w:type="spellEnd"/>
      <w:r w:rsidRPr="00CF198A">
        <w:rPr>
          <w:lang w:val="fr-FR"/>
        </w:rPr>
        <w:t xml:space="preserve"> </w:t>
      </w:r>
      <w:proofErr w:type="spellStart"/>
      <w:r w:rsidRPr="00CF198A">
        <w:rPr>
          <w:lang w:val="fr-FR"/>
        </w:rPr>
        <w:t>Teachers</w:t>
      </w:r>
      <w:proofErr w:type="spellEnd"/>
      <w:r w:rsidRPr="00CF198A">
        <w:rPr>
          <w:lang w:val="fr-FR"/>
        </w:rPr>
        <w:t xml:space="preserve"> to </w:t>
      </w:r>
      <w:proofErr w:type="spellStart"/>
      <w:r w:rsidRPr="00CF198A">
        <w:rPr>
          <w:lang w:val="fr-FR"/>
        </w:rPr>
        <w:t>Teach</w:t>
      </w:r>
      <w:proofErr w:type="spellEnd"/>
      <w:r w:rsidRPr="00CF198A">
        <w:rPr>
          <w:lang w:val="fr-FR"/>
        </w:rPr>
        <w:t xml:space="preserve"> </w:t>
      </w:r>
      <w:proofErr w:type="spellStart"/>
      <w:r w:rsidRPr="00CF198A">
        <w:rPr>
          <w:lang w:val="fr-FR"/>
        </w:rPr>
        <w:t>Writing</w:t>
      </w:r>
      <w:proofErr w:type="spellEnd"/>
      <w:r w:rsidRPr="00CF198A">
        <w:rPr>
          <w:lang w:val="fr-FR"/>
        </w:rPr>
        <w:t xml:space="preserve"> </w:t>
      </w:r>
      <w:proofErr w:type="spellStart"/>
      <w:r w:rsidRPr="00CF198A">
        <w:rPr>
          <w:lang w:val="fr-FR"/>
        </w:rPr>
        <w:t>Using</w:t>
      </w:r>
      <w:proofErr w:type="spellEnd"/>
      <w:r w:rsidRPr="00CF198A">
        <w:rPr>
          <w:lang w:val="fr-FR"/>
        </w:rPr>
        <w:t xml:space="preserve"> </w:t>
      </w:r>
      <w:proofErr w:type="spellStart"/>
      <w:r w:rsidRPr="00CF198A">
        <w:rPr>
          <w:lang w:val="fr-FR"/>
        </w:rPr>
        <w:t>Technology</w:t>
      </w:r>
      <w:proofErr w:type="spellEnd"/>
      <w:r w:rsidRPr="00CF198A">
        <w:rPr>
          <w:lang w:val="fr-FR"/>
        </w:rPr>
        <w:t xml:space="preserve"> (p. 57</w:t>
      </w:r>
      <w:r w:rsidRPr="00CF198A">
        <w:rPr>
          <w:rFonts w:ascii="Cambria Math" w:hAnsi="Cambria Math" w:cs="Cambria Math"/>
          <w:lang w:val="fr-FR"/>
        </w:rPr>
        <w:t>‐</w:t>
      </w:r>
      <w:r w:rsidRPr="00CF198A">
        <w:rPr>
          <w:lang w:val="fr-FR"/>
        </w:rPr>
        <w:t xml:space="preserve">68). Pittsburgh : ETC </w:t>
      </w:r>
      <w:proofErr w:type="spellStart"/>
      <w:r w:rsidRPr="00CF198A">
        <w:rPr>
          <w:lang w:val="fr-FR"/>
        </w:rPr>
        <w:t>Press</w:t>
      </w:r>
      <w:proofErr w:type="spellEnd"/>
      <w:r w:rsidRPr="00CF198A">
        <w:rPr>
          <w:lang w:val="fr-FR"/>
        </w:rPr>
        <w:t xml:space="preserve">. </w:t>
      </w:r>
    </w:p>
    <w:p w:rsidR="00CF198A" w:rsidRPr="00CF198A" w:rsidRDefault="00CF198A" w:rsidP="00CF198A">
      <w:pPr>
        <w:jc w:val="both"/>
        <w:rPr>
          <w:lang w:val="fr-FR"/>
        </w:rPr>
      </w:pPr>
      <w:proofErr w:type="spellStart"/>
      <w:r w:rsidRPr="00CF198A">
        <w:rPr>
          <w:lang w:val="fr-FR"/>
        </w:rPr>
        <w:t>Rouzé</w:t>
      </w:r>
      <w:proofErr w:type="spellEnd"/>
      <w:r w:rsidRPr="00CF198A">
        <w:rPr>
          <w:lang w:val="fr-FR"/>
        </w:rPr>
        <w:t xml:space="preserve">, V. (2012). Stratégies de contrôle et valorisation de l’expérience. Étude des </w:t>
      </w:r>
      <w:proofErr w:type="spellStart"/>
      <w:r w:rsidRPr="00CF198A">
        <w:rPr>
          <w:lang w:val="fr-FR"/>
        </w:rPr>
        <w:t>techologies</w:t>
      </w:r>
      <w:proofErr w:type="spellEnd"/>
      <w:r w:rsidRPr="00CF198A">
        <w:rPr>
          <w:lang w:val="fr-FR"/>
        </w:rPr>
        <w:t xml:space="preserve"> mobiles d’Apple. Repéré à </w:t>
      </w:r>
      <w:hyperlink r:id="rId5" w:history="1">
        <w:r w:rsidRPr="00CF198A">
          <w:t>http://rouzev.free.fr/experience2012.pdf</w:t>
        </w:r>
      </w:hyperlink>
      <w:r w:rsidRPr="00CF198A">
        <w:rPr>
          <w:lang w:val="fr-FR"/>
        </w:rPr>
        <w:t xml:space="preserve"> </w:t>
      </w:r>
    </w:p>
    <w:p w:rsidR="00CF198A" w:rsidRPr="00CF198A" w:rsidRDefault="00CF198A" w:rsidP="00CF198A">
      <w:pPr>
        <w:jc w:val="both"/>
        <w:rPr>
          <w:lang w:val="fr-FR"/>
        </w:rPr>
      </w:pPr>
      <w:r w:rsidRPr="00CF198A">
        <w:rPr>
          <w:lang w:val="fr-FR"/>
        </w:rPr>
        <w:t xml:space="preserve">Sullivan, R. M. (2013). The </w:t>
      </w:r>
      <w:proofErr w:type="spellStart"/>
      <w:r w:rsidRPr="00CF198A">
        <w:rPr>
          <w:lang w:val="fr-FR"/>
        </w:rPr>
        <w:t>tablet</w:t>
      </w:r>
      <w:proofErr w:type="spellEnd"/>
      <w:r w:rsidRPr="00CF198A">
        <w:rPr>
          <w:lang w:val="fr-FR"/>
        </w:rPr>
        <w:t xml:space="preserve"> </w:t>
      </w:r>
      <w:proofErr w:type="spellStart"/>
      <w:r w:rsidRPr="00CF198A">
        <w:rPr>
          <w:lang w:val="fr-FR"/>
        </w:rPr>
        <w:t>inscribed</w:t>
      </w:r>
      <w:proofErr w:type="spellEnd"/>
      <w:r w:rsidRPr="00CF198A">
        <w:rPr>
          <w:lang w:val="fr-FR"/>
        </w:rPr>
        <w:t xml:space="preserve">: Inclusive </w:t>
      </w:r>
      <w:proofErr w:type="spellStart"/>
      <w:r w:rsidRPr="00CF198A">
        <w:rPr>
          <w:lang w:val="fr-FR"/>
        </w:rPr>
        <w:t>writing</w:t>
      </w:r>
      <w:proofErr w:type="spellEnd"/>
      <w:r w:rsidRPr="00CF198A">
        <w:rPr>
          <w:lang w:val="fr-FR"/>
        </w:rPr>
        <w:t xml:space="preserve"> instruction </w:t>
      </w:r>
      <w:proofErr w:type="spellStart"/>
      <w:r w:rsidRPr="00CF198A">
        <w:rPr>
          <w:lang w:val="fr-FR"/>
        </w:rPr>
        <w:t>with</w:t>
      </w:r>
      <w:proofErr w:type="spellEnd"/>
      <w:r w:rsidRPr="00CF198A">
        <w:rPr>
          <w:lang w:val="fr-FR"/>
        </w:rPr>
        <w:t xml:space="preserve"> the iPad. </w:t>
      </w:r>
      <w:proofErr w:type="spellStart"/>
      <w:r w:rsidRPr="00CF198A">
        <w:rPr>
          <w:lang w:val="fr-FR"/>
        </w:rPr>
        <w:t>College</w:t>
      </w:r>
      <w:proofErr w:type="spellEnd"/>
      <w:r w:rsidRPr="00CF198A">
        <w:rPr>
          <w:lang w:val="fr-FR"/>
        </w:rPr>
        <w:t xml:space="preserve"> </w:t>
      </w:r>
      <w:proofErr w:type="spellStart"/>
      <w:r w:rsidRPr="00CF198A">
        <w:rPr>
          <w:lang w:val="fr-FR"/>
        </w:rPr>
        <w:t>Teaching</w:t>
      </w:r>
      <w:proofErr w:type="spellEnd"/>
      <w:r w:rsidRPr="00CF198A">
        <w:rPr>
          <w:lang w:val="fr-FR"/>
        </w:rPr>
        <w:t xml:space="preserve">, 61(1), 1–2. </w:t>
      </w:r>
      <w:hyperlink r:id="rId6" w:history="1">
        <w:r w:rsidRPr="00CF198A">
          <w:t>http://doi.org/10.1080/87567555.2012.700339</w:t>
        </w:r>
      </w:hyperlink>
      <w:r w:rsidRPr="00CF198A">
        <w:rPr>
          <w:lang w:val="fr-FR"/>
        </w:rPr>
        <w:t xml:space="preserve"> </w:t>
      </w:r>
    </w:p>
    <w:p w:rsidR="00CF198A" w:rsidRPr="00CF198A" w:rsidRDefault="00CF198A" w:rsidP="00CF198A">
      <w:pPr>
        <w:jc w:val="both"/>
        <w:rPr>
          <w:lang w:val="fr-FR"/>
        </w:rPr>
      </w:pPr>
      <w:proofErr w:type="spellStart"/>
      <w:r w:rsidRPr="00CF198A">
        <w:rPr>
          <w:lang w:val="fr-FR"/>
        </w:rPr>
        <w:t>Villemonteix</w:t>
      </w:r>
      <w:proofErr w:type="spellEnd"/>
      <w:r w:rsidRPr="00CF198A">
        <w:rPr>
          <w:lang w:val="fr-FR"/>
        </w:rPr>
        <w:t xml:space="preserve">, F. et </w:t>
      </w:r>
      <w:proofErr w:type="spellStart"/>
      <w:r w:rsidRPr="00CF198A">
        <w:rPr>
          <w:lang w:val="fr-FR"/>
        </w:rPr>
        <w:t>Khaneboubi</w:t>
      </w:r>
      <w:proofErr w:type="spellEnd"/>
      <w:r w:rsidRPr="00CF198A">
        <w:rPr>
          <w:lang w:val="fr-FR"/>
        </w:rPr>
        <w:t xml:space="preserve">, M. (2012). Utilisations de tablettes tactiles à l’école primaire. Dans Actes de la conférence JOCAIR’2012. Repéré à </w:t>
      </w:r>
      <w:hyperlink r:id="rId7" w:history="1">
        <w:r w:rsidRPr="00CF198A">
          <w:t>http://hal.archives-</w:t>
        </w:r>
      </w:hyperlink>
      <w:r w:rsidRPr="00CF198A">
        <w:rPr>
          <w:lang w:val="fr-FR"/>
        </w:rPr>
        <w:t xml:space="preserve"> </w:t>
      </w:r>
      <w:hyperlink r:id="rId8" w:history="1">
        <w:r w:rsidRPr="00CF198A">
          <w:t>ouvertes.fr/edutice-00765323</w:t>
        </w:r>
      </w:hyperlink>
    </w:p>
    <w:sectPr w:rsidR="00CF198A" w:rsidRPr="00CF19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281"/>
    <w:rsid w:val="00447768"/>
    <w:rsid w:val="00B00281"/>
    <w:rsid w:val="00B92F4A"/>
    <w:rsid w:val="00CF198A"/>
    <w:rsid w:val="00FE7C2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8FF542-73FD-4F4B-9A36-5219DDD41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281"/>
    <w:pPr>
      <w:spacing w:after="0" w:line="240" w:lineRule="auto"/>
    </w:pPr>
    <w:rPr>
      <w:rFonts w:ascii="Times New Roman" w:hAnsi="Times New Roman" w:cs="Times New Roman"/>
      <w:sz w:val="24"/>
      <w:szCs w:val="24"/>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CF19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638688">
      <w:bodyDiv w:val="1"/>
      <w:marLeft w:val="0"/>
      <w:marRight w:val="0"/>
      <w:marTop w:val="0"/>
      <w:marBottom w:val="0"/>
      <w:divBdr>
        <w:top w:val="none" w:sz="0" w:space="0" w:color="auto"/>
        <w:left w:val="none" w:sz="0" w:space="0" w:color="auto"/>
        <w:bottom w:val="none" w:sz="0" w:space="0" w:color="auto"/>
        <w:right w:val="none" w:sz="0" w:space="0" w:color="auto"/>
      </w:divBdr>
    </w:div>
    <w:div w:id="138425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uvertes.fr/edutice-00765323" TargetMode="External"/><Relationship Id="rId3" Type="http://schemas.openxmlformats.org/officeDocument/2006/relationships/webSettings" Target="webSettings.xml"/><Relationship Id="rId7" Type="http://schemas.openxmlformats.org/officeDocument/2006/relationships/hyperlink" Target="http://hal.archiv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i.org/10.1080/87567555.2012.700339" TargetMode="External"/><Relationship Id="rId5" Type="http://schemas.openxmlformats.org/officeDocument/2006/relationships/hyperlink" Target="http://rouzev.free.fr/experience2012.pdf" TargetMode="External"/><Relationship Id="rId10" Type="http://schemas.openxmlformats.org/officeDocument/2006/relationships/theme" Target="theme/theme1.xml"/><Relationship Id="rId4" Type="http://schemas.openxmlformats.org/officeDocument/2006/relationships/hyperlink" Target="http://www.knowledgebasepublishers.org/cjerpdf/2014/JAN/Cathleen%20and%20Ka" TargetMode="Externa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850</Words>
  <Characters>4677</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Natacha Duroisin</dc:creator>
  <cp:keywords/>
  <dc:description/>
  <cp:lastModifiedBy>Natacha Duroisin</cp:lastModifiedBy>
  <cp:revision>4</cp:revision>
  <dcterms:created xsi:type="dcterms:W3CDTF">2016-02-16T08:34:00Z</dcterms:created>
  <dcterms:modified xsi:type="dcterms:W3CDTF">2016-03-24T09:28:00Z</dcterms:modified>
</cp:coreProperties>
</file>