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91" w:rsidRDefault="00851C91" w:rsidP="00851C91">
      <w:pPr>
        <w:jc w:val="center"/>
        <w:rPr>
          <w:rFonts w:ascii="Calibri" w:eastAsia="Times New Roman" w:hAnsi="Calibri" w:cs="GeezaPro"/>
          <w:b/>
          <w:bCs/>
          <w:sz w:val="28"/>
          <w:szCs w:val="28"/>
        </w:rPr>
      </w:pPr>
      <w:r>
        <w:rPr>
          <w:rFonts w:ascii="Calibri" w:eastAsia="Times New Roman" w:hAnsi="Calibri" w:cs="GeezaPro"/>
          <w:b/>
          <w:bCs/>
          <w:sz w:val="28"/>
          <w:szCs w:val="28"/>
        </w:rPr>
        <w:t xml:space="preserve">Symposium </w:t>
      </w:r>
    </w:p>
    <w:p w:rsidR="00851C91" w:rsidRPr="00916040" w:rsidRDefault="00851C91" w:rsidP="00851C91">
      <w:pPr>
        <w:jc w:val="center"/>
        <w:rPr>
          <w:rFonts w:ascii="Calibri" w:eastAsia="Times New Roman" w:hAnsi="Calibri" w:cs="GeezaPro"/>
          <w:b/>
          <w:bCs/>
          <w:sz w:val="28"/>
          <w:szCs w:val="28"/>
        </w:rPr>
      </w:pPr>
      <w:r w:rsidRPr="00916040">
        <w:rPr>
          <w:rFonts w:ascii="Calibri" w:eastAsia="Times New Roman" w:hAnsi="Calibri" w:cs="GeezaPro"/>
          <w:b/>
          <w:bCs/>
          <w:sz w:val="28"/>
          <w:szCs w:val="28"/>
        </w:rPr>
        <w:t xml:space="preserve">Familles, </w:t>
      </w:r>
      <w:proofErr w:type="spellStart"/>
      <w:r w:rsidRPr="00916040">
        <w:rPr>
          <w:rFonts w:ascii="Calibri" w:eastAsia="Times New Roman" w:hAnsi="Calibri" w:cs="GeezaPro"/>
          <w:b/>
          <w:bCs/>
          <w:sz w:val="28"/>
          <w:szCs w:val="28"/>
        </w:rPr>
        <w:t>professionnel.le.s</w:t>
      </w:r>
      <w:proofErr w:type="spellEnd"/>
      <w:r w:rsidRPr="00916040">
        <w:rPr>
          <w:rFonts w:ascii="Calibri" w:eastAsia="Times New Roman" w:hAnsi="Calibri" w:cs="GeezaPro"/>
          <w:b/>
          <w:bCs/>
          <w:sz w:val="28"/>
          <w:szCs w:val="28"/>
        </w:rPr>
        <w:t xml:space="preserve"> et technologies numériques</w:t>
      </w:r>
    </w:p>
    <w:p w:rsidR="00851C91" w:rsidRDefault="00851C91" w:rsidP="00E84B1D">
      <w:pPr>
        <w:jc w:val="center"/>
        <w:rPr>
          <w:rFonts w:asciiTheme="majorHAnsi" w:hAnsiTheme="majorHAnsi"/>
          <w:b/>
          <w:bCs/>
        </w:rPr>
      </w:pPr>
    </w:p>
    <w:p w:rsidR="00E84B1D" w:rsidRPr="006F126E" w:rsidRDefault="00BB3DB6" w:rsidP="00E84B1D">
      <w:pPr>
        <w:jc w:val="center"/>
        <w:rPr>
          <w:rFonts w:asciiTheme="majorHAnsi" w:hAnsiTheme="majorHAnsi"/>
        </w:rPr>
      </w:pPr>
      <w:r w:rsidRPr="006F126E">
        <w:rPr>
          <w:rFonts w:asciiTheme="majorHAnsi" w:hAnsiTheme="majorHAnsi"/>
          <w:b/>
          <w:bCs/>
        </w:rPr>
        <w:t>Inégalités éducatives et territoires</w:t>
      </w:r>
      <w:r w:rsidR="006047C9" w:rsidRPr="006F126E">
        <w:rPr>
          <w:rFonts w:asciiTheme="majorHAnsi" w:hAnsiTheme="majorHAnsi"/>
          <w:b/>
          <w:bCs/>
        </w:rPr>
        <w:t>.</w:t>
      </w:r>
    </w:p>
    <w:p w:rsidR="00BB3DB6" w:rsidRPr="006F126E" w:rsidRDefault="00BB3DB6" w:rsidP="00E84B1D">
      <w:pPr>
        <w:jc w:val="center"/>
        <w:rPr>
          <w:rFonts w:asciiTheme="majorHAnsi" w:hAnsiTheme="majorHAnsi"/>
        </w:rPr>
      </w:pPr>
      <w:r w:rsidRPr="006F126E">
        <w:rPr>
          <w:rFonts w:asciiTheme="majorHAnsi" w:hAnsiTheme="majorHAnsi"/>
          <w:b/>
          <w:bCs/>
        </w:rPr>
        <w:t>Focales sur les pratiques numériques des adolescents</w:t>
      </w:r>
    </w:p>
    <w:p w:rsidR="00E84B1D" w:rsidRPr="006F126E" w:rsidRDefault="00E84B1D" w:rsidP="007E1304">
      <w:pPr>
        <w:jc w:val="both"/>
        <w:rPr>
          <w:rFonts w:asciiTheme="majorHAnsi" w:hAnsiTheme="majorHAnsi"/>
          <w:szCs w:val="20"/>
        </w:rPr>
      </w:pPr>
    </w:p>
    <w:p w:rsidR="00505875" w:rsidRPr="00851C91" w:rsidRDefault="00505875" w:rsidP="007E1304">
      <w:pPr>
        <w:jc w:val="both"/>
        <w:rPr>
          <w:rFonts w:asciiTheme="majorHAnsi" w:hAnsiTheme="majorHAnsi"/>
          <w:szCs w:val="20"/>
        </w:rPr>
      </w:pPr>
      <w:r w:rsidRPr="00851C91">
        <w:rPr>
          <w:rFonts w:asciiTheme="majorHAnsi" w:hAnsiTheme="majorHAnsi"/>
          <w:szCs w:val="20"/>
        </w:rPr>
        <w:t>C</w:t>
      </w:r>
      <w:r w:rsidR="00BB3DB6" w:rsidRPr="00851C91">
        <w:rPr>
          <w:rFonts w:asciiTheme="majorHAnsi" w:hAnsiTheme="majorHAnsi"/>
          <w:szCs w:val="20"/>
        </w:rPr>
        <w:t xml:space="preserve">ette communication présentera les résultats d’un projet ANR </w:t>
      </w:r>
      <w:r w:rsidRPr="00851C91">
        <w:rPr>
          <w:rFonts w:asciiTheme="majorHAnsi" w:hAnsiTheme="majorHAnsi"/>
          <w:szCs w:val="20"/>
        </w:rPr>
        <w:t xml:space="preserve">consacré aux inégalités éducatives </w:t>
      </w:r>
      <w:r w:rsidR="00BB3DB6" w:rsidRPr="00851C91">
        <w:rPr>
          <w:rFonts w:asciiTheme="majorHAnsi" w:hAnsiTheme="majorHAnsi"/>
          <w:szCs w:val="20"/>
        </w:rPr>
        <w:t>qui s’</w:t>
      </w:r>
      <w:r w:rsidRPr="00851C91">
        <w:rPr>
          <w:rFonts w:asciiTheme="majorHAnsi" w:hAnsiTheme="majorHAnsi"/>
          <w:szCs w:val="20"/>
        </w:rPr>
        <w:t xml:space="preserve">est déroulé de 2012 à 2015. </w:t>
      </w:r>
      <w:r w:rsidR="002D1EC6" w:rsidRPr="00851C91">
        <w:rPr>
          <w:rFonts w:asciiTheme="majorHAnsi" w:hAnsiTheme="majorHAnsi"/>
          <w:szCs w:val="20"/>
        </w:rPr>
        <w:t>Les enquêtes sur les pr</w:t>
      </w:r>
      <w:r w:rsidR="0052758D" w:rsidRPr="00851C91">
        <w:rPr>
          <w:rFonts w:asciiTheme="majorHAnsi" w:hAnsiTheme="majorHAnsi"/>
          <w:szCs w:val="20"/>
        </w:rPr>
        <w:t>atiques culturelles</w:t>
      </w:r>
      <w:r w:rsidR="002D1EC6" w:rsidRPr="00851C91">
        <w:rPr>
          <w:rFonts w:asciiTheme="majorHAnsi" w:hAnsiTheme="majorHAnsi"/>
          <w:szCs w:val="20"/>
        </w:rPr>
        <w:t xml:space="preserve"> (</w:t>
      </w:r>
      <w:proofErr w:type="spellStart"/>
      <w:r w:rsidR="002D1EC6" w:rsidRPr="00851C91">
        <w:rPr>
          <w:rFonts w:asciiTheme="majorHAnsi" w:hAnsiTheme="majorHAnsi"/>
          <w:szCs w:val="20"/>
        </w:rPr>
        <w:t>Donnat</w:t>
      </w:r>
      <w:proofErr w:type="spellEnd"/>
      <w:r w:rsidR="002D1EC6" w:rsidRPr="00851C91">
        <w:rPr>
          <w:rFonts w:asciiTheme="majorHAnsi" w:hAnsiTheme="majorHAnsi"/>
          <w:szCs w:val="20"/>
        </w:rPr>
        <w:t xml:space="preserve">, 2008) donnent un certain nombre de repères </w:t>
      </w:r>
      <w:r w:rsidR="0052758D" w:rsidRPr="00851C91">
        <w:rPr>
          <w:rFonts w:asciiTheme="majorHAnsi" w:hAnsiTheme="majorHAnsi"/>
          <w:szCs w:val="20"/>
        </w:rPr>
        <w:t xml:space="preserve">sur les inégalités </w:t>
      </w:r>
      <w:r w:rsidR="002D1EC6" w:rsidRPr="00851C91">
        <w:rPr>
          <w:rFonts w:asciiTheme="majorHAnsi" w:hAnsiTheme="majorHAnsi"/>
          <w:szCs w:val="20"/>
        </w:rPr>
        <w:t xml:space="preserve">mais occultent celles des moins de </w:t>
      </w:r>
      <w:r w:rsidR="0052758D" w:rsidRPr="00851C91">
        <w:rPr>
          <w:rFonts w:asciiTheme="majorHAnsi" w:hAnsiTheme="majorHAnsi"/>
          <w:szCs w:val="20"/>
        </w:rPr>
        <w:t>15</w:t>
      </w:r>
      <w:r w:rsidR="002D1EC6" w:rsidRPr="00851C91">
        <w:rPr>
          <w:rFonts w:asciiTheme="majorHAnsi" w:hAnsiTheme="majorHAnsi"/>
          <w:szCs w:val="20"/>
        </w:rPr>
        <w:t xml:space="preserve"> ans. A cette période, les adolescents développent pourtant une réelle autonomie vis-à-vis de leur famille, construisent leurs propres goûts et préférences et sont également moins assujettis aux choix parentaux et aux activités familiales (Pasquier, 2005). Parmi les récentes enquêtes qui prennent en compte les activités numériques des adolescents, on peut citer celle sur l'enfance des loisirs (Octobre, </w:t>
      </w:r>
      <w:proofErr w:type="spellStart"/>
      <w:r w:rsidR="002D1EC6" w:rsidRPr="00851C91">
        <w:rPr>
          <w:rFonts w:asciiTheme="majorHAnsi" w:hAnsiTheme="majorHAnsi"/>
          <w:szCs w:val="20"/>
        </w:rPr>
        <w:t>Détrez</w:t>
      </w:r>
      <w:proofErr w:type="spellEnd"/>
      <w:r w:rsidR="002D1EC6" w:rsidRPr="00851C91">
        <w:rPr>
          <w:rFonts w:asciiTheme="majorHAnsi" w:hAnsiTheme="majorHAnsi"/>
          <w:szCs w:val="20"/>
        </w:rPr>
        <w:t xml:space="preserve">, </w:t>
      </w:r>
      <w:proofErr w:type="spellStart"/>
      <w:r w:rsidR="002D1EC6" w:rsidRPr="00851C91">
        <w:rPr>
          <w:rFonts w:asciiTheme="majorHAnsi" w:hAnsiTheme="majorHAnsi"/>
          <w:szCs w:val="20"/>
        </w:rPr>
        <w:t>Mercklé</w:t>
      </w:r>
      <w:proofErr w:type="spellEnd"/>
      <w:r w:rsidR="002D1EC6" w:rsidRPr="00851C91">
        <w:rPr>
          <w:rFonts w:asciiTheme="majorHAnsi" w:hAnsiTheme="majorHAnsi"/>
          <w:szCs w:val="20"/>
        </w:rPr>
        <w:t xml:space="preserve"> et </w:t>
      </w:r>
      <w:proofErr w:type="spellStart"/>
      <w:r w:rsidR="002D1EC6" w:rsidRPr="00851C91">
        <w:rPr>
          <w:rFonts w:asciiTheme="majorHAnsi" w:hAnsiTheme="majorHAnsi"/>
          <w:szCs w:val="20"/>
        </w:rPr>
        <w:t>Berthommier</w:t>
      </w:r>
      <w:proofErr w:type="spellEnd"/>
      <w:r w:rsidR="002D1EC6" w:rsidRPr="00851C91">
        <w:rPr>
          <w:rFonts w:asciiTheme="majorHAnsi" w:hAnsiTheme="majorHAnsi"/>
          <w:szCs w:val="20"/>
        </w:rPr>
        <w:t xml:space="preserve">, 2010) qui étudie leurs trajectoires culturelles en les interrogeant à 11, 13, 15 et 17 ans. Notre </w:t>
      </w:r>
      <w:r w:rsidRPr="00851C91">
        <w:rPr>
          <w:rFonts w:asciiTheme="majorHAnsi" w:hAnsiTheme="majorHAnsi"/>
          <w:szCs w:val="20"/>
        </w:rPr>
        <w:t xml:space="preserve">hypothèse de départ </w:t>
      </w:r>
      <w:r w:rsidR="002D1EC6" w:rsidRPr="00851C91">
        <w:rPr>
          <w:rFonts w:asciiTheme="majorHAnsi" w:hAnsiTheme="majorHAnsi"/>
          <w:szCs w:val="20"/>
        </w:rPr>
        <w:t xml:space="preserve">est différente. Elle </w:t>
      </w:r>
      <w:r w:rsidRPr="00851C91">
        <w:rPr>
          <w:rFonts w:asciiTheme="majorHAnsi" w:hAnsiTheme="majorHAnsi"/>
          <w:szCs w:val="20"/>
        </w:rPr>
        <w:t xml:space="preserve">pose que </w:t>
      </w:r>
      <w:r w:rsidR="002D1EC6" w:rsidRPr="00851C91">
        <w:rPr>
          <w:rFonts w:asciiTheme="majorHAnsi" w:hAnsiTheme="majorHAnsi"/>
          <w:szCs w:val="20"/>
        </w:rPr>
        <w:t xml:space="preserve">les </w:t>
      </w:r>
      <w:r w:rsidRPr="00851C91">
        <w:rPr>
          <w:rFonts w:asciiTheme="majorHAnsi" w:hAnsiTheme="majorHAnsi"/>
          <w:szCs w:val="20"/>
        </w:rPr>
        <w:t>contextes influencent les parcours éducatifs des jeunes</w:t>
      </w:r>
      <w:r w:rsidR="0052758D" w:rsidRPr="00851C91">
        <w:rPr>
          <w:rFonts w:asciiTheme="majorHAnsi" w:hAnsiTheme="majorHAnsi"/>
          <w:szCs w:val="20"/>
        </w:rPr>
        <w:t xml:space="preserve"> dans</w:t>
      </w:r>
      <w:r w:rsidRPr="00851C91">
        <w:rPr>
          <w:rFonts w:asciiTheme="majorHAnsi" w:hAnsiTheme="majorHAnsi"/>
          <w:szCs w:val="20"/>
        </w:rPr>
        <w:t xml:space="preserve"> l’institution scolaire, </w:t>
      </w:r>
      <w:r w:rsidR="0052758D" w:rsidRPr="00851C91">
        <w:rPr>
          <w:rFonts w:asciiTheme="majorHAnsi" w:hAnsiTheme="majorHAnsi"/>
          <w:szCs w:val="20"/>
        </w:rPr>
        <w:t>dans leurs</w:t>
      </w:r>
      <w:r w:rsidRPr="00851C91">
        <w:rPr>
          <w:rFonts w:asciiTheme="majorHAnsi" w:hAnsiTheme="majorHAnsi"/>
          <w:szCs w:val="20"/>
        </w:rPr>
        <w:t xml:space="preserve"> loisirs sportifs et culturels et </w:t>
      </w:r>
      <w:r w:rsidR="0052758D" w:rsidRPr="00851C91">
        <w:rPr>
          <w:rFonts w:asciiTheme="majorHAnsi" w:hAnsiTheme="majorHAnsi"/>
          <w:szCs w:val="20"/>
        </w:rPr>
        <w:t>dans leurs pratiques</w:t>
      </w:r>
      <w:r w:rsidRPr="00851C91">
        <w:rPr>
          <w:rFonts w:asciiTheme="majorHAnsi" w:hAnsiTheme="majorHAnsi"/>
          <w:szCs w:val="20"/>
        </w:rPr>
        <w:t xml:space="preserve"> numériques. La dimension spatiale de ces contextes joue un rôle central, que ce soit par le vecteur des distances métriques ou par celui des distances sociales et culturelles. L’équipe et la recherche ANR étai</w:t>
      </w:r>
      <w:r w:rsidR="0052758D" w:rsidRPr="00851C91">
        <w:rPr>
          <w:rFonts w:asciiTheme="majorHAnsi" w:hAnsiTheme="majorHAnsi"/>
          <w:szCs w:val="20"/>
        </w:rPr>
        <w:t>en</w:t>
      </w:r>
      <w:r w:rsidRPr="00851C91">
        <w:rPr>
          <w:rFonts w:asciiTheme="majorHAnsi" w:hAnsiTheme="majorHAnsi"/>
          <w:szCs w:val="20"/>
        </w:rPr>
        <w:t>t interdisciplinaire (</w:t>
      </w:r>
      <w:r w:rsidR="007E1304" w:rsidRPr="00851C91">
        <w:rPr>
          <w:rFonts w:asciiTheme="majorHAnsi" w:hAnsiTheme="majorHAnsi"/>
          <w:szCs w:val="20"/>
        </w:rPr>
        <w:t xml:space="preserve">sciences de l’éducation, </w:t>
      </w:r>
      <w:r w:rsidRPr="00851C91">
        <w:rPr>
          <w:rFonts w:asciiTheme="majorHAnsi" w:hAnsiTheme="majorHAnsi"/>
          <w:szCs w:val="20"/>
        </w:rPr>
        <w:t>géographie, sociologie, anthropolo</w:t>
      </w:r>
      <w:r w:rsidR="007E1304" w:rsidRPr="00851C91">
        <w:rPr>
          <w:rFonts w:asciiTheme="majorHAnsi" w:hAnsiTheme="majorHAnsi"/>
          <w:szCs w:val="20"/>
        </w:rPr>
        <w:t xml:space="preserve">gie, sciences </w:t>
      </w:r>
      <w:r w:rsidRPr="00851C91">
        <w:rPr>
          <w:rFonts w:asciiTheme="majorHAnsi" w:hAnsiTheme="majorHAnsi"/>
          <w:szCs w:val="20"/>
        </w:rPr>
        <w:t>de l’</w:t>
      </w:r>
      <w:proofErr w:type="spellStart"/>
      <w:r w:rsidRPr="00851C91">
        <w:rPr>
          <w:rFonts w:asciiTheme="majorHAnsi" w:hAnsiTheme="majorHAnsi"/>
          <w:szCs w:val="20"/>
        </w:rPr>
        <w:t>information-communication</w:t>
      </w:r>
      <w:proofErr w:type="spellEnd"/>
      <w:r w:rsidRPr="00851C91">
        <w:rPr>
          <w:rFonts w:asciiTheme="majorHAnsi" w:hAnsiTheme="majorHAnsi"/>
          <w:szCs w:val="20"/>
        </w:rPr>
        <w:t>)</w:t>
      </w:r>
      <w:r w:rsidR="007E1304" w:rsidRPr="00851C91">
        <w:rPr>
          <w:rFonts w:asciiTheme="majorHAnsi" w:hAnsiTheme="majorHAnsi"/>
          <w:szCs w:val="20"/>
        </w:rPr>
        <w:t>. Des méthodes inductives et comparatives ont été retenues pour mesurer et analyser les inégal</w:t>
      </w:r>
      <w:r w:rsidR="0052758D" w:rsidRPr="00851C91">
        <w:rPr>
          <w:rFonts w:asciiTheme="majorHAnsi" w:hAnsiTheme="majorHAnsi"/>
          <w:szCs w:val="20"/>
        </w:rPr>
        <w:t>ités éducatives</w:t>
      </w:r>
      <w:r w:rsidR="007E1304" w:rsidRPr="00851C91">
        <w:rPr>
          <w:rFonts w:asciiTheme="majorHAnsi" w:hAnsiTheme="majorHAnsi"/>
          <w:szCs w:val="20"/>
        </w:rPr>
        <w:t xml:space="preserve">. La comparaison, sur le plan quantitatif, de trois territoires régionaux (Aquitaine, Basse-Normandie et Bretagne) et sur le plan qualitatif, de la situation de trois espaces ruraux, périurbains et urbains sélectionnés dans chacune de ces régions, a montré la diversité des politiques d’éducation mises en œuvre et plus globalement des types d’effets de lieu sur les parcours éducatifs des jeunes. La conjugaison de méthodes quantitatives et qualitatives a produit un corpus d’observations très riche (3.356 questionnaires élèves, 1.058 questionnaires parents, 9 monographies de sites). </w:t>
      </w:r>
      <w:r w:rsidR="007E1304" w:rsidRPr="00851C91">
        <w:rPr>
          <w:rFonts w:asciiTheme="majorHAnsi" w:hAnsiTheme="majorHAnsi"/>
          <w:iCs/>
          <w:szCs w:val="20"/>
        </w:rPr>
        <w:t xml:space="preserve">S'agissant des </w:t>
      </w:r>
      <w:r w:rsidR="0052758D" w:rsidRPr="00851C91">
        <w:rPr>
          <w:rFonts w:asciiTheme="majorHAnsi" w:hAnsiTheme="majorHAnsi"/>
          <w:iCs/>
          <w:szCs w:val="20"/>
        </w:rPr>
        <w:t>pratiques</w:t>
      </w:r>
      <w:r w:rsidR="007E1304" w:rsidRPr="00851C91">
        <w:rPr>
          <w:rFonts w:asciiTheme="majorHAnsi" w:hAnsiTheme="majorHAnsi"/>
          <w:iCs/>
          <w:szCs w:val="20"/>
        </w:rPr>
        <w:t xml:space="preserve"> numériques, </w:t>
      </w:r>
      <w:r w:rsidR="0052758D" w:rsidRPr="00851C91">
        <w:rPr>
          <w:rFonts w:asciiTheme="majorHAnsi" w:hAnsiTheme="majorHAnsi"/>
          <w:iCs/>
          <w:szCs w:val="20"/>
        </w:rPr>
        <w:t>l</w:t>
      </w:r>
      <w:r w:rsidR="007E1304" w:rsidRPr="00851C91">
        <w:rPr>
          <w:rFonts w:asciiTheme="majorHAnsi" w:hAnsiTheme="majorHAnsi"/>
          <w:iCs/>
          <w:szCs w:val="20"/>
        </w:rPr>
        <w:t xml:space="preserve">es jeunes de milieu défavorisé ont plus souvent accès aux ordinateurs portables dans leur chambre. Les disparités sociales se creusent quant à l’équipement en téléphones portables. En effet, près de quatre adolescents sur cinq issus de milieu défavorisé possèdent un téléphone portable contre deux adolescents sur trois d’origine sociale favorisée. Les analyses qualitatives nous permettent d’identifier un investissement inégal des familles dans le rapport au numérique qui se retrouve dans le type et le lieu d’accès à l’équipement. Dans un souci de justice sociale et spatiale, nos résultats  montrent aussi de quelle manière certains </w:t>
      </w:r>
      <w:r w:rsidR="00A67305" w:rsidRPr="00851C91">
        <w:rPr>
          <w:rFonts w:asciiTheme="majorHAnsi" w:hAnsiTheme="majorHAnsi"/>
          <w:iCs/>
          <w:szCs w:val="20"/>
        </w:rPr>
        <w:t xml:space="preserve">professionnels </w:t>
      </w:r>
      <w:r w:rsidR="007E1304" w:rsidRPr="00851C91">
        <w:rPr>
          <w:rFonts w:asciiTheme="majorHAnsi" w:hAnsiTheme="majorHAnsi"/>
          <w:iCs/>
          <w:szCs w:val="20"/>
        </w:rPr>
        <w:t>s’efforcent de compenser les inégalités liées aux situations sociales et aux territoires, particulièrement dans les zones rurales « blanches » mal ou non desse</w:t>
      </w:r>
      <w:r w:rsidR="0052758D" w:rsidRPr="00851C91">
        <w:rPr>
          <w:rFonts w:asciiTheme="majorHAnsi" w:hAnsiTheme="majorHAnsi"/>
          <w:iCs/>
          <w:szCs w:val="20"/>
        </w:rPr>
        <w:t>rvies par les réseaux internet.</w:t>
      </w:r>
    </w:p>
    <w:p w:rsidR="00E84B1D" w:rsidRPr="006F126E" w:rsidRDefault="00E84B1D" w:rsidP="007E1304">
      <w:pPr>
        <w:jc w:val="both"/>
        <w:rPr>
          <w:rFonts w:asciiTheme="majorHAnsi" w:hAnsiTheme="majorHAnsi"/>
          <w:szCs w:val="20"/>
        </w:rPr>
      </w:pPr>
    </w:p>
    <w:p w:rsidR="00E84B1D" w:rsidRPr="006F126E" w:rsidRDefault="00E84B1D" w:rsidP="00E84B1D">
      <w:pPr>
        <w:jc w:val="both"/>
        <w:rPr>
          <w:rFonts w:asciiTheme="majorHAnsi" w:hAnsiTheme="majorHAnsi"/>
          <w:szCs w:val="20"/>
          <w:lang w:val="en-US"/>
        </w:rPr>
      </w:pPr>
      <w:r w:rsidRPr="006F126E">
        <w:rPr>
          <w:rFonts w:asciiTheme="majorHAnsi" w:hAnsiTheme="majorHAnsi"/>
          <w:b/>
          <w:bCs/>
          <w:iCs/>
          <w:szCs w:val="20"/>
        </w:rPr>
        <w:t>Mots clés</w:t>
      </w:r>
      <w:r w:rsidRPr="006F126E">
        <w:rPr>
          <w:rFonts w:asciiTheme="majorHAnsi" w:hAnsiTheme="majorHAnsi"/>
          <w:iCs/>
          <w:szCs w:val="20"/>
        </w:rPr>
        <w:t xml:space="preserve"> : </w:t>
      </w:r>
      <w:r w:rsidRPr="006F126E">
        <w:rPr>
          <w:rFonts w:asciiTheme="majorHAnsi" w:hAnsiTheme="majorHAnsi"/>
          <w:szCs w:val="20"/>
        </w:rPr>
        <w:t>adolescent ; inégalité ; territoire ; pratiques numériques ; usages.</w:t>
      </w:r>
    </w:p>
    <w:p w:rsidR="00E84B1D" w:rsidRPr="006F126E" w:rsidRDefault="00E84B1D" w:rsidP="007E1304">
      <w:pPr>
        <w:jc w:val="both"/>
        <w:rPr>
          <w:rFonts w:asciiTheme="majorHAnsi" w:hAnsiTheme="majorHAnsi"/>
          <w:szCs w:val="20"/>
        </w:rPr>
      </w:pPr>
    </w:p>
    <w:p w:rsidR="00E84B1D" w:rsidRPr="006F126E" w:rsidRDefault="006F126E" w:rsidP="00E84B1D">
      <w:pPr>
        <w:pStyle w:val="Textecourant"/>
        <w:spacing w:after="0"/>
        <w:ind w:firstLine="0"/>
        <w:jc w:val="left"/>
        <w:rPr>
          <w:rFonts w:asciiTheme="majorHAnsi" w:hAnsiTheme="majorHAnsi" w:cs="Garamond"/>
          <w:b/>
          <w:sz w:val="24"/>
        </w:rPr>
      </w:pPr>
      <w:r>
        <w:rPr>
          <w:rFonts w:asciiTheme="majorHAnsi" w:hAnsiTheme="majorHAnsi" w:cs="Garamond"/>
          <w:b/>
          <w:sz w:val="24"/>
        </w:rPr>
        <w:t>Bibliographie </w:t>
      </w:r>
    </w:p>
    <w:p w:rsidR="00E84B1D" w:rsidRPr="006F126E" w:rsidRDefault="00E84B1D" w:rsidP="00851C91">
      <w:pPr>
        <w:pStyle w:val="Notedebasdepage"/>
        <w:numPr>
          <w:ilvl w:val="0"/>
          <w:numId w:val="5"/>
        </w:numPr>
        <w:spacing w:after="113" w:line="100" w:lineRule="atLeast"/>
        <w:rPr>
          <w:rFonts w:asciiTheme="majorHAnsi" w:hAnsiTheme="majorHAnsi" w:cs="Garamond"/>
          <w:sz w:val="24"/>
          <w:lang w:bidi="fr-FR"/>
        </w:rPr>
      </w:pPr>
      <w:proofErr w:type="spellStart"/>
      <w:r w:rsidRPr="006F126E">
        <w:rPr>
          <w:rFonts w:asciiTheme="majorHAnsi" w:hAnsiTheme="majorHAnsi" w:cs="Garamond"/>
          <w:sz w:val="24"/>
        </w:rPr>
        <w:t>D</w:t>
      </w:r>
      <w:r w:rsidR="006F126E">
        <w:rPr>
          <w:rFonts w:asciiTheme="majorHAnsi" w:hAnsiTheme="majorHAnsi" w:cs="Garamond"/>
          <w:sz w:val="24"/>
        </w:rPr>
        <w:t>onnat</w:t>
      </w:r>
      <w:proofErr w:type="spellEnd"/>
      <w:r w:rsidR="006F126E">
        <w:rPr>
          <w:rFonts w:asciiTheme="majorHAnsi" w:hAnsiTheme="majorHAnsi" w:cs="Garamond"/>
          <w:sz w:val="24"/>
        </w:rPr>
        <w:t>, O. (2008).</w:t>
      </w:r>
      <w:r w:rsidRPr="006F126E">
        <w:rPr>
          <w:rFonts w:asciiTheme="majorHAnsi" w:hAnsiTheme="majorHAnsi" w:cs="Garamond"/>
          <w:sz w:val="24"/>
        </w:rPr>
        <w:t xml:space="preserve"> </w:t>
      </w:r>
      <w:r w:rsidRPr="00851C91">
        <w:rPr>
          <w:rFonts w:asciiTheme="majorHAnsi" w:hAnsiTheme="majorHAnsi" w:cs="Garamond"/>
          <w:i/>
          <w:iCs/>
          <w:sz w:val="24"/>
        </w:rPr>
        <w:t>Les pratiques culturelles des français à l'ère du numérique</w:t>
      </w:r>
      <w:r w:rsidR="00851C91" w:rsidRPr="00851C91">
        <w:rPr>
          <w:rFonts w:asciiTheme="majorHAnsi" w:hAnsiTheme="majorHAnsi" w:cs="Garamond"/>
          <w:i/>
          <w:iCs/>
          <w:sz w:val="24"/>
        </w:rPr>
        <w:t>.</w:t>
      </w:r>
      <w:r w:rsidR="00851C91">
        <w:rPr>
          <w:rFonts w:asciiTheme="majorHAnsi" w:hAnsiTheme="majorHAnsi" w:cs="Garamond"/>
          <w:iCs/>
          <w:sz w:val="24"/>
        </w:rPr>
        <w:t xml:space="preserve"> </w:t>
      </w:r>
      <w:r w:rsidR="006F126E">
        <w:rPr>
          <w:rFonts w:asciiTheme="majorHAnsi" w:hAnsiTheme="majorHAnsi" w:cs="Garamond"/>
          <w:sz w:val="24"/>
        </w:rPr>
        <w:t>Paris</w:t>
      </w:r>
      <w:r w:rsidR="00851C91">
        <w:rPr>
          <w:rFonts w:asciiTheme="majorHAnsi" w:hAnsiTheme="majorHAnsi" w:cs="Garamond"/>
          <w:sz w:val="24"/>
        </w:rPr>
        <w:t> :</w:t>
      </w:r>
      <w:r w:rsidR="006F126E">
        <w:rPr>
          <w:rFonts w:asciiTheme="majorHAnsi" w:hAnsiTheme="majorHAnsi" w:cs="Garamond"/>
          <w:sz w:val="24"/>
        </w:rPr>
        <w:t xml:space="preserve"> La Découverte</w:t>
      </w:r>
      <w:r w:rsidRPr="006F126E">
        <w:rPr>
          <w:rFonts w:asciiTheme="majorHAnsi" w:hAnsiTheme="majorHAnsi" w:cs="Garamond"/>
          <w:sz w:val="24"/>
        </w:rPr>
        <w:t>.</w:t>
      </w:r>
    </w:p>
    <w:p w:rsidR="00E84B1D" w:rsidRPr="006F126E" w:rsidRDefault="00E84B1D" w:rsidP="00851C91">
      <w:pPr>
        <w:pStyle w:val="Notedebasdepage"/>
        <w:numPr>
          <w:ilvl w:val="0"/>
          <w:numId w:val="5"/>
        </w:numPr>
        <w:spacing w:after="113" w:line="100" w:lineRule="atLeast"/>
        <w:rPr>
          <w:rFonts w:asciiTheme="majorHAnsi" w:hAnsiTheme="majorHAnsi" w:cs="Garamond"/>
          <w:sz w:val="24"/>
        </w:rPr>
      </w:pPr>
      <w:r w:rsidRPr="006F126E">
        <w:rPr>
          <w:rFonts w:asciiTheme="majorHAnsi" w:hAnsiTheme="majorHAnsi" w:cs="Garamond"/>
          <w:sz w:val="24"/>
        </w:rPr>
        <w:t>O</w:t>
      </w:r>
      <w:r w:rsidR="006F126E">
        <w:rPr>
          <w:rFonts w:asciiTheme="majorHAnsi" w:hAnsiTheme="majorHAnsi" w:cs="Garamond"/>
          <w:sz w:val="24"/>
        </w:rPr>
        <w:t>ctobre</w:t>
      </w:r>
      <w:r w:rsidRPr="006F126E">
        <w:rPr>
          <w:rFonts w:asciiTheme="majorHAnsi" w:hAnsiTheme="majorHAnsi" w:cs="Garamond"/>
          <w:sz w:val="24"/>
        </w:rPr>
        <w:t xml:space="preserve">, S., </w:t>
      </w:r>
      <w:proofErr w:type="spellStart"/>
      <w:r w:rsidR="006F126E" w:rsidRPr="006F126E">
        <w:rPr>
          <w:rFonts w:asciiTheme="majorHAnsi" w:hAnsiTheme="majorHAnsi" w:cs="Garamond"/>
          <w:sz w:val="24"/>
        </w:rPr>
        <w:t>Détrez</w:t>
      </w:r>
      <w:proofErr w:type="spellEnd"/>
      <w:r w:rsidRPr="006F126E">
        <w:rPr>
          <w:rFonts w:asciiTheme="majorHAnsi" w:hAnsiTheme="majorHAnsi" w:cs="Garamond"/>
          <w:sz w:val="24"/>
        </w:rPr>
        <w:t xml:space="preserve">, C., </w:t>
      </w:r>
      <w:proofErr w:type="spellStart"/>
      <w:r w:rsidR="006F126E" w:rsidRPr="006F126E">
        <w:rPr>
          <w:rFonts w:asciiTheme="majorHAnsi" w:hAnsiTheme="majorHAnsi" w:cs="Garamond"/>
          <w:sz w:val="24"/>
        </w:rPr>
        <w:t>Mercklé</w:t>
      </w:r>
      <w:bookmarkStart w:id="0" w:name="_GoBack"/>
      <w:bookmarkEnd w:id="0"/>
      <w:proofErr w:type="spellEnd"/>
      <w:r w:rsidRPr="006F126E">
        <w:rPr>
          <w:rFonts w:asciiTheme="majorHAnsi" w:hAnsiTheme="majorHAnsi" w:cs="Garamond"/>
          <w:sz w:val="24"/>
        </w:rPr>
        <w:t xml:space="preserve">, P. et </w:t>
      </w:r>
      <w:proofErr w:type="spellStart"/>
      <w:r w:rsidR="006F126E" w:rsidRPr="006F126E">
        <w:rPr>
          <w:rFonts w:asciiTheme="majorHAnsi" w:hAnsiTheme="majorHAnsi" w:cs="Garamond"/>
          <w:sz w:val="24"/>
        </w:rPr>
        <w:t>Berthommier</w:t>
      </w:r>
      <w:proofErr w:type="spellEnd"/>
      <w:r w:rsidR="006F126E">
        <w:rPr>
          <w:rFonts w:asciiTheme="majorHAnsi" w:hAnsiTheme="majorHAnsi" w:cs="Garamond"/>
          <w:sz w:val="24"/>
        </w:rPr>
        <w:t>, N. (2010).</w:t>
      </w:r>
      <w:r w:rsidRPr="006F126E">
        <w:rPr>
          <w:rFonts w:asciiTheme="majorHAnsi" w:hAnsiTheme="majorHAnsi" w:cs="Garamond"/>
          <w:sz w:val="24"/>
        </w:rPr>
        <w:t xml:space="preserve"> </w:t>
      </w:r>
      <w:r w:rsidRPr="00851C91">
        <w:rPr>
          <w:rFonts w:asciiTheme="majorHAnsi" w:hAnsiTheme="majorHAnsi" w:cs="Garamond"/>
          <w:i/>
          <w:iCs/>
          <w:sz w:val="24"/>
        </w:rPr>
        <w:t>L’Enfance des loisirs. Trajectoires communes et parcours individuels de la fin de l’enfance à la grande adolescence</w:t>
      </w:r>
      <w:r w:rsidR="00851C91">
        <w:rPr>
          <w:rFonts w:asciiTheme="majorHAnsi" w:hAnsiTheme="majorHAnsi" w:cs="Garamond"/>
          <w:sz w:val="24"/>
        </w:rPr>
        <w:t>.</w:t>
      </w:r>
      <w:r w:rsidRPr="006F126E">
        <w:rPr>
          <w:rFonts w:asciiTheme="majorHAnsi" w:hAnsiTheme="majorHAnsi" w:cs="Garamond"/>
          <w:sz w:val="24"/>
        </w:rPr>
        <w:t xml:space="preserve"> Paris</w:t>
      </w:r>
      <w:r w:rsidR="00851C91">
        <w:rPr>
          <w:rFonts w:asciiTheme="majorHAnsi" w:hAnsiTheme="majorHAnsi" w:cs="Garamond"/>
          <w:sz w:val="24"/>
        </w:rPr>
        <w:t> :</w:t>
      </w:r>
      <w:r w:rsidRPr="006F126E">
        <w:rPr>
          <w:rFonts w:asciiTheme="majorHAnsi" w:hAnsiTheme="majorHAnsi" w:cs="Garamond"/>
          <w:sz w:val="24"/>
        </w:rPr>
        <w:t xml:space="preserve"> Ministère de la Cultu</w:t>
      </w:r>
      <w:r w:rsidR="006F126E">
        <w:rPr>
          <w:rFonts w:asciiTheme="majorHAnsi" w:hAnsiTheme="majorHAnsi" w:cs="Garamond"/>
          <w:sz w:val="24"/>
        </w:rPr>
        <w:t>re et de la Communication, DEPS</w:t>
      </w:r>
      <w:r w:rsidRPr="006F126E">
        <w:rPr>
          <w:rFonts w:asciiTheme="majorHAnsi" w:hAnsiTheme="majorHAnsi" w:cs="Garamond"/>
          <w:sz w:val="24"/>
        </w:rPr>
        <w:t>.</w:t>
      </w:r>
    </w:p>
    <w:p w:rsidR="00E84B1D" w:rsidRPr="006F126E" w:rsidRDefault="006F126E" w:rsidP="00851C91">
      <w:pPr>
        <w:pStyle w:val="Notedebasdepage"/>
        <w:numPr>
          <w:ilvl w:val="0"/>
          <w:numId w:val="5"/>
        </w:numPr>
        <w:spacing w:after="113" w:line="100" w:lineRule="atLeast"/>
        <w:rPr>
          <w:rFonts w:asciiTheme="majorHAnsi" w:hAnsiTheme="majorHAnsi" w:cs="Garamond"/>
          <w:sz w:val="24"/>
          <w:lang w:bidi="fr-FR"/>
        </w:rPr>
      </w:pPr>
      <w:r w:rsidRPr="006F126E">
        <w:rPr>
          <w:rFonts w:asciiTheme="majorHAnsi" w:hAnsiTheme="majorHAnsi" w:cs="Garamond"/>
          <w:sz w:val="24"/>
        </w:rPr>
        <w:t>Pasquie</w:t>
      </w:r>
      <w:r>
        <w:rPr>
          <w:rFonts w:asciiTheme="majorHAnsi" w:hAnsiTheme="majorHAnsi" w:cs="Garamond"/>
          <w:sz w:val="24"/>
        </w:rPr>
        <w:t>r, D. (2005).</w:t>
      </w:r>
      <w:r w:rsidR="00E84B1D" w:rsidRPr="006F126E">
        <w:rPr>
          <w:rFonts w:asciiTheme="majorHAnsi" w:hAnsiTheme="majorHAnsi" w:cs="Garamond"/>
          <w:sz w:val="24"/>
        </w:rPr>
        <w:t xml:space="preserve"> </w:t>
      </w:r>
      <w:r w:rsidR="00E84B1D" w:rsidRPr="00851C91">
        <w:rPr>
          <w:rFonts w:asciiTheme="majorHAnsi" w:hAnsiTheme="majorHAnsi" w:cs="Garamond"/>
          <w:i/>
          <w:iCs/>
          <w:sz w:val="24"/>
        </w:rPr>
        <w:t>Cultures lycéennes, la tyrannie de la majorité</w:t>
      </w:r>
      <w:r w:rsidR="00851C91">
        <w:rPr>
          <w:rFonts w:asciiTheme="majorHAnsi" w:hAnsiTheme="majorHAnsi" w:cs="Garamond"/>
          <w:sz w:val="24"/>
        </w:rPr>
        <w:t>.</w:t>
      </w:r>
      <w:r w:rsidR="00E84B1D" w:rsidRPr="006F126E">
        <w:rPr>
          <w:rFonts w:asciiTheme="majorHAnsi" w:hAnsiTheme="majorHAnsi" w:cs="Garamond"/>
          <w:sz w:val="24"/>
        </w:rPr>
        <w:t xml:space="preserve"> Paris</w:t>
      </w:r>
      <w:r w:rsidR="00851C91">
        <w:rPr>
          <w:rFonts w:asciiTheme="majorHAnsi" w:hAnsiTheme="majorHAnsi" w:cs="Garamond"/>
          <w:sz w:val="24"/>
        </w:rPr>
        <w:t> :</w:t>
      </w:r>
      <w:r w:rsidR="00E84B1D" w:rsidRPr="006F126E">
        <w:rPr>
          <w:rFonts w:asciiTheme="majorHAnsi" w:hAnsiTheme="majorHAnsi" w:cs="Garamond"/>
          <w:sz w:val="24"/>
        </w:rPr>
        <w:t xml:space="preserve"> A</w:t>
      </w:r>
      <w:r>
        <w:rPr>
          <w:rFonts w:asciiTheme="majorHAnsi" w:hAnsiTheme="majorHAnsi" w:cs="Garamond"/>
          <w:sz w:val="24"/>
        </w:rPr>
        <w:t>utrement</w:t>
      </w:r>
      <w:r w:rsidR="00E84B1D" w:rsidRPr="006F126E">
        <w:rPr>
          <w:rFonts w:asciiTheme="majorHAnsi" w:hAnsiTheme="majorHAnsi" w:cs="Garamond"/>
          <w:sz w:val="24"/>
        </w:rPr>
        <w:t>.</w:t>
      </w:r>
    </w:p>
    <w:p w:rsidR="004C6AEC" w:rsidRPr="006F126E" w:rsidRDefault="004C6AEC">
      <w:pPr>
        <w:rPr>
          <w:rFonts w:asciiTheme="majorHAnsi" w:hAnsiTheme="majorHAnsi"/>
          <w:szCs w:val="20"/>
        </w:rPr>
      </w:pPr>
    </w:p>
    <w:p w:rsidR="00505875" w:rsidRPr="006F126E" w:rsidRDefault="00505875" w:rsidP="00BB3DB6">
      <w:pPr>
        <w:jc w:val="both"/>
        <w:rPr>
          <w:rFonts w:asciiTheme="majorHAnsi" w:hAnsiTheme="majorHAnsi"/>
          <w:szCs w:val="20"/>
        </w:rPr>
      </w:pPr>
    </w:p>
    <w:p w:rsidR="006047C9" w:rsidRPr="006F126E" w:rsidRDefault="006047C9" w:rsidP="004C6AEC">
      <w:pPr>
        <w:pStyle w:val="Textecourant"/>
        <w:spacing w:after="0"/>
        <w:ind w:firstLine="0"/>
        <w:jc w:val="left"/>
        <w:rPr>
          <w:rFonts w:asciiTheme="majorHAnsi" w:hAnsiTheme="majorHAnsi" w:cs="Garamond"/>
          <w:b/>
          <w:sz w:val="24"/>
        </w:rPr>
      </w:pPr>
      <w:r w:rsidRPr="006F126E">
        <w:rPr>
          <w:rFonts w:asciiTheme="majorHAnsi" w:hAnsiTheme="majorHAnsi" w:cs="Garamond"/>
          <w:b/>
          <w:sz w:val="24"/>
        </w:rPr>
        <w:t xml:space="preserve">Auteur </w:t>
      </w:r>
    </w:p>
    <w:p w:rsidR="00F509F7" w:rsidRPr="006F126E" w:rsidRDefault="00F509F7" w:rsidP="006047C9">
      <w:pPr>
        <w:pStyle w:val="Adresse"/>
        <w:rPr>
          <w:rFonts w:asciiTheme="majorHAnsi" w:hAnsiTheme="majorHAnsi"/>
          <w:i w:val="0"/>
          <w:sz w:val="24"/>
        </w:rPr>
      </w:pPr>
      <w:r w:rsidRPr="006F126E">
        <w:rPr>
          <w:rFonts w:asciiTheme="majorHAnsi" w:hAnsiTheme="majorHAnsi"/>
          <w:i w:val="0"/>
          <w:sz w:val="24"/>
        </w:rPr>
        <w:t>Pascal Plantard</w:t>
      </w:r>
    </w:p>
    <w:p w:rsidR="006047C9" w:rsidRPr="006F126E" w:rsidRDefault="006047C9" w:rsidP="006047C9">
      <w:pPr>
        <w:pStyle w:val="Adresse"/>
        <w:rPr>
          <w:rFonts w:asciiTheme="majorHAnsi" w:hAnsiTheme="majorHAnsi"/>
          <w:i w:val="0"/>
          <w:sz w:val="24"/>
        </w:rPr>
      </w:pPr>
      <w:r w:rsidRPr="006F126E">
        <w:rPr>
          <w:rFonts w:asciiTheme="majorHAnsi" w:hAnsiTheme="majorHAnsi"/>
          <w:i w:val="0"/>
          <w:sz w:val="24"/>
        </w:rPr>
        <w:t>Professeur des Universités en sciences de l'éducation</w:t>
      </w:r>
    </w:p>
    <w:p w:rsidR="006047C9" w:rsidRPr="006F126E" w:rsidRDefault="006047C9" w:rsidP="006047C9">
      <w:pPr>
        <w:pStyle w:val="Adresse"/>
        <w:rPr>
          <w:rFonts w:asciiTheme="majorHAnsi" w:hAnsiTheme="majorHAnsi"/>
          <w:i w:val="0"/>
          <w:sz w:val="24"/>
          <w:lang w:val="en-GB"/>
        </w:rPr>
      </w:pPr>
      <w:r w:rsidRPr="006F126E">
        <w:rPr>
          <w:rFonts w:asciiTheme="majorHAnsi" w:hAnsiTheme="majorHAnsi"/>
          <w:i w:val="0"/>
          <w:sz w:val="24"/>
        </w:rPr>
        <w:t xml:space="preserve">CREAD (Centre de Recherche sur l’Éducation, les Apprentissages et la Didactique) - GIS </w:t>
      </w:r>
      <w:hyperlink r:id="rId5" w:history="1">
        <w:r w:rsidRPr="006F126E">
          <w:rPr>
            <w:rStyle w:val="Lienhypertexte"/>
            <w:rFonts w:asciiTheme="majorHAnsi" w:hAnsiTheme="majorHAnsi"/>
            <w:i w:val="0"/>
            <w:sz w:val="24"/>
          </w:rPr>
          <w:t>M@</w:t>
        </w:r>
      </w:hyperlink>
      <w:r w:rsidRPr="006F126E">
        <w:rPr>
          <w:rFonts w:asciiTheme="majorHAnsi" w:hAnsiTheme="majorHAnsi"/>
          <w:i w:val="0"/>
          <w:sz w:val="24"/>
        </w:rPr>
        <w:t>RSOUIN - Université Rennes 2</w:t>
      </w:r>
    </w:p>
    <w:p w:rsidR="006047C9" w:rsidRPr="006F126E" w:rsidRDefault="006047C9" w:rsidP="006047C9">
      <w:pPr>
        <w:pStyle w:val="Adresse"/>
        <w:rPr>
          <w:rFonts w:asciiTheme="majorHAnsi" w:hAnsiTheme="majorHAnsi"/>
          <w:i w:val="0"/>
          <w:sz w:val="24"/>
          <w:lang w:val="en-GB"/>
        </w:rPr>
      </w:pPr>
      <w:r w:rsidRPr="006F126E">
        <w:rPr>
          <w:rFonts w:asciiTheme="majorHAnsi" w:hAnsiTheme="majorHAnsi"/>
          <w:i w:val="0"/>
          <w:sz w:val="24"/>
          <w:lang w:val="en-GB"/>
        </w:rPr>
        <w:t>Pascal.Plantard@uhb.fr</w:t>
      </w:r>
    </w:p>
    <w:p w:rsidR="00A67305" w:rsidRDefault="00A67305" w:rsidP="00A67305">
      <w:pPr>
        <w:jc w:val="both"/>
        <w:rPr>
          <w:rFonts w:asciiTheme="majorHAnsi" w:hAnsiTheme="majorHAnsi"/>
        </w:rPr>
      </w:pPr>
    </w:p>
    <w:p w:rsidR="00F509F7" w:rsidRPr="006F126E" w:rsidRDefault="006047C9" w:rsidP="00A67305">
      <w:pPr>
        <w:jc w:val="both"/>
        <w:rPr>
          <w:rFonts w:asciiTheme="majorHAnsi" w:hAnsiTheme="majorHAnsi"/>
        </w:rPr>
      </w:pPr>
      <w:r w:rsidRPr="006F126E">
        <w:rPr>
          <w:rFonts w:asciiTheme="majorHAnsi" w:hAnsiTheme="majorHAnsi"/>
        </w:rPr>
        <w:t>P</w:t>
      </w:r>
      <w:r w:rsidR="004C6AEC" w:rsidRPr="006F126E">
        <w:rPr>
          <w:rFonts w:asciiTheme="majorHAnsi" w:hAnsiTheme="majorHAnsi"/>
        </w:rPr>
        <w:t xml:space="preserve">lantard, P. (2015). </w:t>
      </w:r>
      <w:r w:rsidR="004C6AEC" w:rsidRPr="00851C91">
        <w:rPr>
          <w:rFonts w:asciiTheme="majorHAnsi" w:hAnsiTheme="majorHAnsi"/>
          <w:i/>
        </w:rPr>
        <w:t>L’imaginaire numérique dans l’éducation</w:t>
      </w:r>
      <w:r w:rsidR="004C6AEC" w:rsidRPr="006F126E">
        <w:rPr>
          <w:rFonts w:asciiTheme="majorHAnsi" w:hAnsiTheme="majorHAnsi"/>
        </w:rPr>
        <w:t xml:space="preserve">. Collection Modélisations des imaginaires. </w:t>
      </w:r>
      <w:r w:rsidRPr="006F126E">
        <w:rPr>
          <w:rFonts w:asciiTheme="majorHAnsi" w:hAnsiTheme="majorHAnsi"/>
        </w:rPr>
        <w:t xml:space="preserve">Paris : </w:t>
      </w:r>
      <w:proofErr w:type="spellStart"/>
      <w:r w:rsidRPr="006F126E">
        <w:rPr>
          <w:rFonts w:asciiTheme="majorHAnsi" w:hAnsiTheme="majorHAnsi"/>
        </w:rPr>
        <w:t>Manucius</w:t>
      </w:r>
      <w:proofErr w:type="spellEnd"/>
      <w:r w:rsidRPr="006F126E">
        <w:rPr>
          <w:rFonts w:asciiTheme="majorHAnsi" w:hAnsiTheme="majorHAnsi"/>
        </w:rPr>
        <w:t>.</w:t>
      </w:r>
    </w:p>
    <w:p w:rsidR="004C6AEC" w:rsidRPr="006F126E" w:rsidRDefault="004C6AEC" w:rsidP="00A67305">
      <w:pPr>
        <w:jc w:val="both"/>
        <w:rPr>
          <w:rFonts w:asciiTheme="majorHAnsi" w:hAnsiTheme="majorHAnsi"/>
        </w:rPr>
      </w:pPr>
      <w:r w:rsidRPr="006F126E">
        <w:rPr>
          <w:rFonts w:asciiTheme="majorHAnsi" w:hAnsiTheme="majorHAnsi"/>
        </w:rPr>
        <w:t xml:space="preserve">Plantard, P. (2015). Numérique et éducation : encore un coup de « tablette magique ? », In </w:t>
      </w:r>
      <w:r w:rsidRPr="00851C91">
        <w:rPr>
          <w:rFonts w:asciiTheme="majorHAnsi" w:hAnsiTheme="majorHAnsi"/>
          <w:i/>
        </w:rPr>
        <w:t>Administration et Éducation</w:t>
      </w:r>
      <w:r w:rsidRPr="006F126E">
        <w:rPr>
          <w:rFonts w:asciiTheme="majorHAnsi" w:hAnsiTheme="majorHAnsi"/>
        </w:rPr>
        <w:t>, N°146, juillet 2015, pp. 63-67</w:t>
      </w:r>
    </w:p>
    <w:p w:rsidR="00A67305" w:rsidRDefault="004C6AEC" w:rsidP="00A67305">
      <w:pPr>
        <w:jc w:val="both"/>
        <w:rPr>
          <w:rFonts w:asciiTheme="majorHAnsi" w:hAnsiTheme="majorHAnsi"/>
          <w:color w:val="000000" w:themeColor="text1"/>
        </w:rPr>
      </w:pPr>
      <w:r w:rsidRPr="006F126E">
        <w:rPr>
          <w:rFonts w:asciiTheme="majorHAnsi" w:hAnsiTheme="majorHAnsi"/>
        </w:rPr>
        <w:t xml:space="preserve">Le </w:t>
      </w:r>
      <w:proofErr w:type="spellStart"/>
      <w:r w:rsidRPr="006F126E">
        <w:rPr>
          <w:rFonts w:asciiTheme="majorHAnsi" w:hAnsiTheme="majorHAnsi"/>
        </w:rPr>
        <w:t>Mentec</w:t>
      </w:r>
      <w:proofErr w:type="spellEnd"/>
      <w:r w:rsidRPr="006F126E">
        <w:rPr>
          <w:rFonts w:asciiTheme="majorHAnsi" w:hAnsiTheme="majorHAnsi"/>
        </w:rPr>
        <w:t xml:space="preserve">, M. et Plantard, P. (2015). INEDUC : pratiques numériques des adolescents et territoires In Networks and Communication </w:t>
      </w:r>
      <w:proofErr w:type="spellStart"/>
      <w:r w:rsidRPr="006F126E">
        <w:rPr>
          <w:rFonts w:asciiTheme="majorHAnsi" w:hAnsiTheme="majorHAnsi"/>
        </w:rPr>
        <w:t>Studies</w:t>
      </w:r>
      <w:proofErr w:type="spellEnd"/>
      <w:r w:rsidRPr="006F126E">
        <w:rPr>
          <w:rFonts w:asciiTheme="majorHAnsi" w:hAnsiTheme="majorHAnsi"/>
        </w:rPr>
        <w:t>, NETCOM, vol. 28, N°1-2,</w:t>
      </w:r>
      <w:r w:rsidR="00A67305">
        <w:rPr>
          <w:rFonts w:asciiTheme="majorHAnsi" w:hAnsiTheme="majorHAnsi"/>
          <w:color w:val="000000" w:themeColor="text1"/>
        </w:rPr>
        <w:t xml:space="preserve"> </w:t>
      </w:r>
      <w:r w:rsidRPr="006F126E">
        <w:rPr>
          <w:rFonts w:asciiTheme="majorHAnsi" w:hAnsiTheme="majorHAnsi"/>
          <w:color w:val="000000" w:themeColor="text1"/>
        </w:rPr>
        <w:t>217-238</w:t>
      </w:r>
      <w:r w:rsidR="00A67305">
        <w:rPr>
          <w:rFonts w:asciiTheme="majorHAnsi" w:hAnsiTheme="majorHAnsi"/>
          <w:color w:val="000000" w:themeColor="text1"/>
        </w:rPr>
        <w:t>.</w:t>
      </w:r>
    </w:p>
    <w:p w:rsidR="004C6AEC" w:rsidRPr="00A67305" w:rsidRDefault="004C6AEC" w:rsidP="00A67305">
      <w:pPr>
        <w:jc w:val="both"/>
        <w:rPr>
          <w:rFonts w:asciiTheme="majorHAnsi" w:hAnsiTheme="majorHAnsi"/>
          <w:color w:val="000000" w:themeColor="text1"/>
        </w:rPr>
      </w:pPr>
      <w:r w:rsidRPr="006F126E">
        <w:rPr>
          <w:rFonts w:asciiTheme="majorHAnsi" w:hAnsiTheme="majorHAnsi"/>
          <w:color w:val="000000" w:themeColor="text1"/>
          <w:szCs w:val="20"/>
        </w:rPr>
        <w:t>Plantard, P. et André, G. (2015</w:t>
      </w:r>
      <w:r w:rsidR="00851C91">
        <w:rPr>
          <w:rFonts w:asciiTheme="majorHAnsi" w:hAnsiTheme="majorHAnsi"/>
          <w:color w:val="000000" w:themeColor="text1"/>
          <w:szCs w:val="20"/>
        </w:rPr>
        <w:t xml:space="preserve"> à paraitre</w:t>
      </w:r>
      <w:r w:rsidRPr="006F126E">
        <w:rPr>
          <w:rFonts w:asciiTheme="majorHAnsi" w:hAnsiTheme="majorHAnsi"/>
          <w:color w:val="000000" w:themeColor="text1"/>
          <w:szCs w:val="20"/>
        </w:rPr>
        <w:t xml:space="preserve">). Adolescences numériques ? Génération « Y » et inégalités éducatives In Les familles et les technologies numériques – </w:t>
      </w:r>
      <w:r w:rsidRPr="00851C91">
        <w:rPr>
          <w:rFonts w:asciiTheme="majorHAnsi" w:hAnsiTheme="majorHAnsi"/>
          <w:i/>
          <w:color w:val="000000" w:themeColor="text1"/>
          <w:szCs w:val="20"/>
        </w:rPr>
        <w:t>Education et Formation</w:t>
      </w:r>
      <w:r w:rsidRPr="006F126E">
        <w:rPr>
          <w:rFonts w:asciiTheme="majorHAnsi" w:hAnsiTheme="majorHAnsi"/>
          <w:color w:val="000000" w:themeColor="text1"/>
          <w:szCs w:val="20"/>
        </w:rPr>
        <w:t>, N°e304, 168-183</w:t>
      </w:r>
      <w:r w:rsidR="00A67305">
        <w:rPr>
          <w:rFonts w:asciiTheme="majorHAnsi" w:hAnsiTheme="majorHAnsi"/>
          <w:color w:val="000000" w:themeColor="text1"/>
          <w:szCs w:val="20"/>
        </w:rPr>
        <w:t>.</w:t>
      </w:r>
    </w:p>
    <w:p w:rsidR="004C6AEC" w:rsidRPr="006F126E" w:rsidRDefault="004C6AEC" w:rsidP="00A67305">
      <w:pPr>
        <w:pStyle w:val="hdr-western"/>
        <w:spacing w:before="0" w:beforeAutospacing="0" w:after="0" w:line="240" w:lineRule="auto"/>
        <w:ind w:left="0"/>
        <w:rPr>
          <w:rFonts w:asciiTheme="majorHAnsi" w:hAnsiTheme="majorHAnsi"/>
          <w:sz w:val="24"/>
          <w:szCs w:val="20"/>
        </w:rPr>
      </w:pPr>
      <w:r w:rsidRPr="006F126E">
        <w:rPr>
          <w:rFonts w:asciiTheme="majorHAnsi" w:hAnsiTheme="majorHAnsi"/>
          <w:color w:val="000000" w:themeColor="text1"/>
          <w:sz w:val="24"/>
          <w:szCs w:val="20"/>
        </w:rPr>
        <w:t xml:space="preserve">Plantard, P. (2015). Le collège et les pratiques numériques des adolescents, In Dossier des cahiers « École et classes populaires : face à face ou côte à côte ? », </w:t>
      </w:r>
      <w:r w:rsidRPr="00851C91">
        <w:rPr>
          <w:rFonts w:asciiTheme="majorHAnsi" w:hAnsiTheme="majorHAnsi"/>
          <w:i/>
          <w:color w:val="000000" w:themeColor="text1"/>
          <w:sz w:val="24"/>
          <w:szCs w:val="20"/>
        </w:rPr>
        <w:t>Les Cahiers Pédagogiques</w:t>
      </w:r>
      <w:r w:rsidRPr="006F126E">
        <w:rPr>
          <w:rFonts w:asciiTheme="majorHAnsi" w:hAnsiTheme="majorHAnsi"/>
          <w:color w:val="000000" w:themeColor="text1"/>
          <w:sz w:val="24"/>
          <w:szCs w:val="20"/>
        </w:rPr>
        <w:t>, N°520, mars 2015</w:t>
      </w:r>
      <w:r w:rsidR="00A67305">
        <w:rPr>
          <w:rFonts w:asciiTheme="majorHAnsi" w:hAnsiTheme="majorHAnsi"/>
          <w:color w:val="000000" w:themeColor="text1"/>
          <w:sz w:val="24"/>
          <w:szCs w:val="20"/>
        </w:rPr>
        <w:t>.</w:t>
      </w:r>
    </w:p>
    <w:p w:rsidR="004C6AEC" w:rsidRPr="006F126E" w:rsidRDefault="004C6AEC" w:rsidP="00A67305">
      <w:pPr>
        <w:pStyle w:val="hdr-western"/>
        <w:spacing w:before="0" w:beforeAutospacing="0" w:after="0" w:line="240" w:lineRule="auto"/>
        <w:ind w:left="0"/>
        <w:rPr>
          <w:rFonts w:asciiTheme="majorHAnsi" w:hAnsiTheme="majorHAnsi"/>
          <w:color w:val="000000" w:themeColor="text1"/>
          <w:sz w:val="24"/>
          <w:szCs w:val="20"/>
        </w:rPr>
      </w:pPr>
      <w:r w:rsidRPr="006F126E">
        <w:rPr>
          <w:rFonts w:asciiTheme="majorHAnsi" w:hAnsiTheme="majorHAnsi"/>
          <w:color w:val="000000" w:themeColor="text1"/>
          <w:sz w:val="24"/>
          <w:szCs w:val="20"/>
        </w:rPr>
        <w:t xml:space="preserve">Plantard, P. et Le </w:t>
      </w:r>
      <w:proofErr w:type="spellStart"/>
      <w:r w:rsidRPr="006F126E">
        <w:rPr>
          <w:rFonts w:asciiTheme="majorHAnsi" w:hAnsiTheme="majorHAnsi"/>
          <w:color w:val="000000" w:themeColor="text1"/>
          <w:sz w:val="24"/>
          <w:szCs w:val="20"/>
        </w:rPr>
        <w:t>Mentec</w:t>
      </w:r>
      <w:proofErr w:type="spellEnd"/>
      <w:r w:rsidRPr="006F126E">
        <w:rPr>
          <w:rFonts w:asciiTheme="majorHAnsi" w:hAnsiTheme="majorHAnsi"/>
          <w:color w:val="000000" w:themeColor="text1"/>
          <w:sz w:val="24"/>
          <w:szCs w:val="20"/>
        </w:rPr>
        <w:t xml:space="preserve">, M. (2013). INEDUC : focales sur les inégalités scolaires, de loisirs et de pratiques numériques chez </w:t>
      </w:r>
      <w:r w:rsidR="00851C91">
        <w:rPr>
          <w:rFonts w:asciiTheme="majorHAnsi" w:hAnsiTheme="majorHAnsi"/>
          <w:color w:val="000000" w:themeColor="text1"/>
          <w:sz w:val="24"/>
          <w:szCs w:val="20"/>
        </w:rPr>
        <w:t xml:space="preserve">les adolescents. </w:t>
      </w:r>
      <w:r w:rsidRPr="00851C91">
        <w:rPr>
          <w:rFonts w:asciiTheme="majorHAnsi" w:hAnsiTheme="majorHAnsi"/>
          <w:i/>
          <w:color w:val="000000" w:themeColor="text1"/>
          <w:sz w:val="24"/>
          <w:szCs w:val="20"/>
        </w:rPr>
        <w:t>TERMINAL</w:t>
      </w:r>
      <w:r w:rsidRPr="006F126E">
        <w:rPr>
          <w:rFonts w:asciiTheme="majorHAnsi" w:hAnsiTheme="majorHAnsi"/>
          <w:color w:val="000000" w:themeColor="text1"/>
          <w:sz w:val="24"/>
          <w:szCs w:val="20"/>
        </w:rPr>
        <w:t xml:space="preserve"> N°113-114, Enseignemen</w:t>
      </w:r>
      <w:r w:rsidR="00A67305">
        <w:rPr>
          <w:rFonts w:asciiTheme="majorHAnsi" w:hAnsiTheme="majorHAnsi"/>
          <w:color w:val="000000" w:themeColor="text1"/>
          <w:sz w:val="24"/>
          <w:szCs w:val="20"/>
        </w:rPr>
        <w:t xml:space="preserve">t, informatique, TIC et société, </w:t>
      </w:r>
      <w:r w:rsidRPr="006F126E">
        <w:rPr>
          <w:rFonts w:asciiTheme="majorHAnsi" w:hAnsiTheme="majorHAnsi"/>
          <w:color w:val="000000" w:themeColor="text1"/>
          <w:sz w:val="24"/>
          <w:szCs w:val="20"/>
        </w:rPr>
        <w:t>79-91</w:t>
      </w:r>
      <w:r w:rsidR="00A67305">
        <w:rPr>
          <w:rFonts w:asciiTheme="majorHAnsi" w:hAnsiTheme="majorHAnsi"/>
          <w:color w:val="000000" w:themeColor="text1"/>
          <w:sz w:val="24"/>
          <w:szCs w:val="20"/>
        </w:rPr>
        <w:t>.</w:t>
      </w:r>
    </w:p>
    <w:p w:rsidR="004C6AEC" w:rsidRPr="006F126E" w:rsidRDefault="004C6AEC" w:rsidP="00A67305">
      <w:pPr>
        <w:pStyle w:val="hdr-western"/>
        <w:spacing w:before="0" w:beforeAutospacing="0" w:after="0" w:line="240" w:lineRule="auto"/>
        <w:ind w:left="0"/>
        <w:rPr>
          <w:rFonts w:asciiTheme="majorHAnsi" w:hAnsiTheme="majorHAnsi"/>
          <w:color w:val="000000" w:themeColor="text1"/>
          <w:sz w:val="24"/>
          <w:szCs w:val="20"/>
        </w:rPr>
      </w:pPr>
      <w:r w:rsidRPr="006F126E">
        <w:rPr>
          <w:rFonts w:asciiTheme="majorHAnsi" w:hAnsiTheme="majorHAnsi"/>
          <w:color w:val="000000" w:themeColor="text1"/>
          <w:sz w:val="24"/>
          <w:szCs w:val="20"/>
        </w:rPr>
        <w:t xml:space="preserve">Plantard, P. (2015). Contre la « fracture numérique », pas de coup de tablette magique. In Le numérique, une chance pour l’école ? </w:t>
      </w:r>
      <w:r w:rsidRPr="00851C91">
        <w:rPr>
          <w:rFonts w:asciiTheme="majorHAnsi" w:hAnsiTheme="majorHAnsi"/>
          <w:i/>
          <w:color w:val="000000" w:themeColor="text1"/>
          <w:sz w:val="24"/>
          <w:szCs w:val="20"/>
        </w:rPr>
        <w:t>Revue PROJET</w:t>
      </w:r>
      <w:r w:rsidRPr="006F126E">
        <w:rPr>
          <w:rFonts w:asciiTheme="majorHAnsi" w:hAnsiTheme="majorHAnsi"/>
          <w:color w:val="000000" w:themeColor="text1"/>
          <w:sz w:val="24"/>
          <w:szCs w:val="20"/>
        </w:rPr>
        <w:t>, N°345, avril 20</w:t>
      </w:r>
      <w:r w:rsidR="00A67305">
        <w:rPr>
          <w:rFonts w:asciiTheme="majorHAnsi" w:hAnsiTheme="majorHAnsi"/>
          <w:color w:val="000000" w:themeColor="text1"/>
          <w:sz w:val="24"/>
          <w:szCs w:val="20"/>
        </w:rPr>
        <w:t xml:space="preserve">15, </w:t>
      </w:r>
      <w:r w:rsidRPr="006F126E">
        <w:rPr>
          <w:rFonts w:asciiTheme="majorHAnsi" w:hAnsiTheme="majorHAnsi"/>
          <w:color w:val="000000" w:themeColor="text1"/>
          <w:sz w:val="24"/>
          <w:szCs w:val="20"/>
        </w:rPr>
        <w:t>23-31</w:t>
      </w:r>
      <w:r w:rsidR="00A67305">
        <w:rPr>
          <w:rFonts w:asciiTheme="majorHAnsi" w:hAnsiTheme="majorHAnsi"/>
          <w:color w:val="000000" w:themeColor="text1"/>
          <w:sz w:val="24"/>
          <w:szCs w:val="20"/>
        </w:rPr>
        <w:t>.</w:t>
      </w:r>
    </w:p>
    <w:p w:rsidR="00A31A08" w:rsidRPr="006F126E" w:rsidRDefault="004C6AEC" w:rsidP="00A67305">
      <w:pPr>
        <w:pStyle w:val="hdr-western"/>
        <w:spacing w:before="0" w:beforeAutospacing="0" w:after="0" w:line="240" w:lineRule="auto"/>
        <w:ind w:left="0"/>
        <w:rPr>
          <w:rFonts w:asciiTheme="majorHAnsi" w:hAnsiTheme="majorHAnsi"/>
          <w:color w:val="000000" w:themeColor="text1"/>
          <w:sz w:val="24"/>
          <w:szCs w:val="24"/>
        </w:rPr>
      </w:pPr>
      <w:r w:rsidRPr="006F126E">
        <w:rPr>
          <w:rFonts w:asciiTheme="majorHAnsi" w:hAnsiTheme="majorHAnsi"/>
          <w:color w:val="000000" w:themeColor="text1"/>
          <w:sz w:val="24"/>
          <w:szCs w:val="20"/>
        </w:rPr>
        <w:t xml:space="preserve">Plantard, P. (2013). </w:t>
      </w:r>
      <w:proofErr w:type="spellStart"/>
      <w:r w:rsidRPr="006F126E">
        <w:rPr>
          <w:rFonts w:asciiTheme="majorHAnsi" w:hAnsiTheme="majorHAnsi"/>
          <w:color w:val="000000" w:themeColor="text1"/>
          <w:sz w:val="24"/>
          <w:szCs w:val="20"/>
        </w:rPr>
        <w:t>E-inclusion</w:t>
      </w:r>
      <w:proofErr w:type="spellEnd"/>
      <w:r w:rsidRPr="006F126E">
        <w:rPr>
          <w:rFonts w:asciiTheme="majorHAnsi" w:hAnsiTheme="majorHAnsi"/>
          <w:color w:val="000000" w:themeColor="text1"/>
          <w:sz w:val="24"/>
          <w:szCs w:val="20"/>
        </w:rPr>
        <w:t> : braconnage, bricolage et b</w:t>
      </w:r>
      <w:r w:rsidR="00851C91">
        <w:rPr>
          <w:rFonts w:asciiTheme="majorHAnsi" w:hAnsiTheme="majorHAnsi"/>
          <w:color w:val="000000" w:themeColor="text1"/>
          <w:sz w:val="24"/>
          <w:szCs w:val="20"/>
        </w:rPr>
        <w:t>utinage,</w:t>
      </w:r>
      <w:r w:rsidR="00A67305">
        <w:rPr>
          <w:rFonts w:asciiTheme="majorHAnsi" w:hAnsiTheme="majorHAnsi"/>
          <w:color w:val="000000" w:themeColor="text1"/>
          <w:sz w:val="24"/>
          <w:szCs w:val="20"/>
        </w:rPr>
        <w:t xml:space="preserve"> </w:t>
      </w:r>
      <w:r w:rsidR="00A67305" w:rsidRPr="00851C91">
        <w:rPr>
          <w:rFonts w:asciiTheme="majorHAnsi" w:hAnsiTheme="majorHAnsi"/>
          <w:i/>
          <w:color w:val="000000" w:themeColor="text1"/>
          <w:sz w:val="24"/>
          <w:szCs w:val="20"/>
        </w:rPr>
        <w:t>Place publique</w:t>
      </w:r>
      <w:r w:rsidR="00A67305">
        <w:rPr>
          <w:rFonts w:asciiTheme="majorHAnsi" w:hAnsiTheme="majorHAnsi"/>
          <w:color w:val="000000" w:themeColor="text1"/>
          <w:sz w:val="24"/>
          <w:szCs w:val="20"/>
        </w:rPr>
        <w:t>, N°25,</w:t>
      </w:r>
      <w:r w:rsidRPr="006F126E">
        <w:rPr>
          <w:rFonts w:asciiTheme="majorHAnsi" w:hAnsiTheme="majorHAnsi"/>
          <w:color w:val="000000" w:themeColor="text1"/>
          <w:sz w:val="24"/>
          <w:szCs w:val="20"/>
        </w:rPr>
        <w:t xml:space="preserve"> 16-22</w:t>
      </w:r>
      <w:r w:rsidR="006047C9" w:rsidRPr="006F126E">
        <w:rPr>
          <w:rFonts w:asciiTheme="majorHAnsi" w:hAnsiTheme="majorHAnsi"/>
          <w:color w:val="000000" w:themeColor="text1"/>
          <w:sz w:val="24"/>
          <w:szCs w:val="20"/>
        </w:rPr>
        <w:t>.</w:t>
      </w:r>
    </w:p>
    <w:sectPr w:rsidR="00A31A08" w:rsidRPr="006F126E" w:rsidSect="00BB3DB6">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ezaPro">
    <w:altName w:val="Times New Roman"/>
    <w:panose1 w:val="00000000000000000000"/>
    <w:charset w:val="B2"/>
    <w:family w:val="auto"/>
    <w:notTrueType/>
    <w:pitch w:val="default"/>
    <w:sig w:usb0="00002001" w:usb1="00000000" w:usb2="00000000" w:usb3="00000000" w:csb0="0000004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4E11"/>
    <w:multiLevelType w:val="hybridMultilevel"/>
    <w:tmpl w:val="56100DB6"/>
    <w:lvl w:ilvl="0" w:tplc="556C961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0D0BEA"/>
    <w:multiLevelType w:val="hybridMultilevel"/>
    <w:tmpl w:val="14684558"/>
    <w:lvl w:ilvl="0" w:tplc="A5D43E96">
      <w:start w:val="1"/>
      <w:numFmt w:val="decimal"/>
      <w:lvlText w:val="%1."/>
      <w:lvlJc w:val="left"/>
      <w:pPr>
        <w:ind w:left="720" w:hanging="360"/>
      </w:pPr>
      <w:rPr>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CA6CF2"/>
    <w:multiLevelType w:val="hybridMultilevel"/>
    <w:tmpl w:val="AE66E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4B434E"/>
    <w:multiLevelType w:val="hybridMultilevel"/>
    <w:tmpl w:val="C14634F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Verdana"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Verdana"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Verdana" w:hint="default"/>
      </w:rPr>
    </w:lvl>
  </w:abstractNum>
  <w:abstractNum w:abstractNumId="4">
    <w:nsid w:val="78AB1194"/>
    <w:multiLevelType w:val="hybridMultilevel"/>
    <w:tmpl w:val="1C986D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doNotTrackMoves/>
  <w:defaultTabStop w:val="708"/>
  <w:hyphenationZone w:val="425"/>
  <w:characterSpacingControl w:val="doNotCompress"/>
  <w:savePreviewPicture/>
  <w:compat>
    <w:useFELayout/>
  </w:compat>
  <w:rsids>
    <w:rsidRoot w:val="00BB3DB6"/>
    <w:rsid w:val="000C1D2C"/>
    <w:rsid w:val="002D1EC6"/>
    <w:rsid w:val="003E5B42"/>
    <w:rsid w:val="004C6AEC"/>
    <w:rsid w:val="00505875"/>
    <w:rsid w:val="0052758D"/>
    <w:rsid w:val="006047C9"/>
    <w:rsid w:val="006F126E"/>
    <w:rsid w:val="007E1304"/>
    <w:rsid w:val="00851C91"/>
    <w:rsid w:val="0086562C"/>
    <w:rsid w:val="009E7836"/>
    <w:rsid w:val="00A31A08"/>
    <w:rsid w:val="00A67305"/>
    <w:rsid w:val="00B00B7B"/>
    <w:rsid w:val="00B63B8F"/>
    <w:rsid w:val="00BB3DB6"/>
    <w:rsid w:val="00E84B1D"/>
    <w:rsid w:val="00F509F7"/>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0" w:defSemiHidden="0" w:defUnhideWhenUsed="0" w:defQFormat="0" w:count="276"/>
  <w:style w:type="paragraph" w:default="1" w:styleId="Normal">
    <w:name w:val="Normal"/>
    <w:qFormat/>
    <w:rsid w:val="00B00B7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BB3DB6"/>
    <w:rPr>
      <w:color w:val="0000FF" w:themeColor="hyperlink"/>
      <w:u w:val="single"/>
    </w:rPr>
  </w:style>
  <w:style w:type="paragraph" w:styleId="Corpsdetexte">
    <w:name w:val="Body Text"/>
    <w:basedOn w:val="Normal"/>
    <w:link w:val="CorpsdetexteCar"/>
    <w:uiPriority w:val="99"/>
    <w:semiHidden/>
    <w:unhideWhenUsed/>
    <w:rsid w:val="007E1304"/>
    <w:pPr>
      <w:spacing w:after="120"/>
    </w:pPr>
  </w:style>
  <w:style w:type="character" w:customStyle="1" w:styleId="CorpsdetexteCar">
    <w:name w:val="Corps de texte Car"/>
    <w:basedOn w:val="Policepardfaut"/>
    <w:link w:val="Corpsdetexte"/>
    <w:uiPriority w:val="99"/>
    <w:semiHidden/>
    <w:rsid w:val="007E1304"/>
  </w:style>
  <w:style w:type="paragraph" w:styleId="Textedebulles">
    <w:name w:val="Balloon Text"/>
    <w:basedOn w:val="Normal"/>
    <w:link w:val="TextedebullesCar"/>
    <w:uiPriority w:val="99"/>
    <w:semiHidden/>
    <w:unhideWhenUsed/>
    <w:rsid w:val="007E13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1304"/>
    <w:rPr>
      <w:rFonts w:ascii="Lucida Grande" w:hAnsi="Lucida Grande" w:cs="Lucida Grande"/>
      <w:sz w:val="18"/>
      <w:szCs w:val="18"/>
    </w:rPr>
  </w:style>
  <w:style w:type="paragraph" w:styleId="Notedebasdepage">
    <w:name w:val="footnote text"/>
    <w:basedOn w:val="Normal"/>
    <w:link w:val="NotedebasdepageCar"/>
    <w:rsid w:val="00E84B1D"/>
    <w:pPr>
      <w:keepLines/>
      <w:widowControl w:val="0"/>
      <w:suppressLineNumbers/>
      <w:suppressAutoHyphens/>
      <w:ind w:left="283" w:hanging="283"/>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E84B1D"/>
    <w:rPr>
      <w:rFonts w:ascii="Times New Roman" w:eastAsia="Times New Roman" w:hAnsi="Times New Roman" w:cs="Times New Roman"/>
      <w:sz w:val="20"/>
      <w:szCs w:val="20"/>
    </w:rPr>
  </w:style>
  <w:style w:type="paragraph" w:customStyle="1" w:styleId="footnotetextfootnote">
    <w:name w:val="footnote text;footnote"/>
    <w:rsid w:val="00E84B1D"/>
    <w:pPr>
      <w:suppressAutoHyphens/>
      <w:jc w:val="both"/>
    </w:pPr>
    <w:rPr>
      <w:rFonts w:ascii="Times New Roman" w:eastAsia="Times New Roman" w:hAnsi="Times New Roman" w:cs="Times New Roman"/>
      <w:sz w:val="20"/>
      <w:szCs w:val="20"/>
    </w:rPr>
  </w:style>
  <w:style w:type="paragraph" w:customStyle="1" w:styleId="Textecourant">
    <w:name w:val="Texte courant"/>
    <w:basedOn w:val="Normal"/>
    <w:rsid w:val="00E84B1D"/>
    <w:pPr>
      <w:spacing w:after="120" w:line="240" w:lineRule="exact"/>
      <w:ind w:firstLine="284"/>
      <w:jc w:val="both"/>
    </w:pPr>
    <w:rPr>
      <w:rFonts w:ascii="Times New Roman" w:eastAsia="Times New Roman" w:hAnsi="Times New Roman" w:cs="Times New Roman"/>
      <w:kern w:val="1"/>
      <w:sz w:val="20"/>
      <w:szCs w:val="20"/>
      <w:lang w:eastAsia="ar-SA"/>
    </w:rPr>
  </w:style>
  <w:style w:type="character" w:styleId="Lienhypertextesuivi">
    <w:name w:val="FollowedHyperlink"/>
    <w:basedOn w:val="Policepardfaut"/>
    <w:uiPriority w:val="99"/>
    <w:semiHidden/>
    <w:unhideWhenUsed/>
    <w:rsid w:val="00E84B1D"/>
    <w:rPr>
      <w:color w:val="800080" w:themeColor="followedHyperlink"/>
      <w:u w:val="single"/>
    </w:rPr>
  </w:style>
  <w:style w:type="paragraph" w:customStyle="1" w:styleId="hdr-western">
    <w:name w:val="hdr-western"/>
    <w:basedOn w:val="Normal"/>
    <w:rsid w:val="004C6AEC"/>
    <w:pPr>
      <w:spacing w:before="100" w:beforeAutospacing="1" w:after="119" w:line="360" w:lineRule="auto"/>
      <w:ind w:left="567"/>
      <w:jc w:val="both"/>
    </w:pPr>
    <w:rPr>
      <w:rFonts w:ascii="Verdana" w:eastAsia="Times New Roman" w:hAnsi="Verdana" w:cs="Times New Roman"/>
      <w:sz w:val="22"/>
      <w:szCs w:val="22"/>
    </w:rPr>
  </w:style>
  <w:style w:type="paragraph" w:styleId="Paragraphedeliste">
    <w:name w:val="List Paragraph"/>
    <w:basedOn w:val="Normal"/>
    <w:uiPriority w:val="34"/>
    <w:qFormat/>
    <w:rsid w:val="004C6AEC"/>
    <w:pPr>
      <w:ind w:left="708"/>
    </w:pPr>
    <w:rPr>
      <w:rFonts w:ascii="Times New Roman" w:eastAsia="Times New Roman" w:hAnsi="Times New Roman" w:cs="Times New Roman"/>
    </w:rPr>
  </w:style>
  <w:style w:type="paragraph" w:customStyle="1" w:styleId="Adresse">
    <w:name w:val="Adresse"/>
    <w:basedOn w:val="Normal"/>
    <w:rsid w:val="006047C9"/>
    <w:rPr>
      <w:rFonts w:ascii="Times New Roman" w:eastAsia="Times New Roman" w:hAnsi="Times New Roman" w:cs="Times New Roman"/>
      <w: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3DB6"/>
    <w:rPr>
      <w:color w:val="0000FF" w:themeColor="hyperlink"/>
      <w:u w:val="single"/>
    </w:rPr>
  </w:style>
  <w:style w:type="paragraph" w:styleId="Corpsdetexte">
    <w:name w:val="Body Text"/>
    <w:basedOn w:val="Normal"/>
    <w:link w:val="CorpsdetexteCar"/>
    <w:uiPriority w:val="99"/>
    <w:semiHidden/>
    <w:unhideWhenUsed/>
    <w:rsid w:val="007E1304"/>
    <w:pPr>
      <w:spacing w:after="120"/>
    </w:pPr>
  </w:style>
  <w:style w:type="character" w:customStyle="1" w:styleId="CorpsdetexteCar">
    <w:name w:val="Corps de texte Car"/>
    <w:basedOn w:val="Policepardfaut"/>
    <w:link w:val="Corpsdetexte"/>
    <w:uiPriority w:val="99"/>
    <w:semiHidden/>
    <w:rsid w:val="007E1304"/>
  </w:style>
  <w:style w:type="paragraph" w:styleId="Textedebulles">
    <w:name w:val="Balloon Text"/>
    <w:basedOn w:val="Normal"/>
    <w:link w:val="TextedebullesCar"/>
    <w:uiPriority w:val="99"/>
    <w:semiHidden/>
    <w:unhideWhenUsed/>
    <w:rsid w:val="007E13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1304"/>
    <w:rPr>
      <w:rFonts w:ascii="Lucida Grande" w:hAnsi="Lucida Grande" w:cs="Lucida Grande"/>
      <w:sz w:val="18"/>
      <w:szCs w:val="18"/>
    </w:rPr>
  </w:style>
  <w:style w:type="paragraph" w:styleId="Notedebasdepage">
    <w:name w:val="footnote text"/>
    <w:basedOn w:val="Normal"/>
    <w:link w:val="NotedebasdepageCar"/>
    <w:rsid w:val="00E84B1D"/>
    <w:pPr>
      <w:keepLines/>
      <w:widowControl w:val="0"/>
      <w:suppressLineNumbers/>
      <w:suppressAutoHyphens/>
      <w:ind w:left="283" w:hanging="283"/>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E84B1D"/>
    <w:rPr>
      <w:rFonts w:ascii="Times New Roman" w:eastAsia="Times New Roman" w:hAnsi="Times New Roman" w:cs="Times New Roman"/>
      <w:sz w:val="20"/>
      <w:szCs w:val="20"/>
    </w:rPr>
  </w:style>
  <w:style w:type="paragraph" w:customStyle="1" w:styleId="footnotetextfootnote">
    <w:name w:val="footnote text;footnote"/>
    <w:rsid w:val="00E84B1D"/>
    <w:pPr>
      <w:suppressAutoHyphens/>
      <w:jc w:val="both"/>
    </w:pPr>
    <w:rPr>
      <w:rFonts w:ascii="Times New Roman" w:eastAsia="Times New Roman" w:hAnsi="Times New Roman" w:cs="Times New Roman"/>
      <w:sz w:val="20"/>
      <w:szCs w:val="20"/>
    </w:rPr>
  </w:style>
  <w:style w:type="paragraph" w:customStyle="1" w:styleId="Textecourant">
    <w:name w:val="Texte courant"/>
    <w:basedOn w:val="Normal"/>
    <w:rsid w:val="00E84B1D"/>
    <w:pPr>
      <w:spacing w:after="120" w:line="240" w:lineRule="exact"/>
      <w:ind w:firstLine="284"/>
      <w:jc w:val="both"/>
    </w:pPr>
    <w:rPr>
      <w:rFonts w:ascii="Times New Roman" w:eastAsia="Times New Roman" w:hAnsi="Times New Roman" w:cs="Times New Roman"/>
      <w:kern w:val="1"/>
      <w:sz w:val="20"/>
      <w:szCs w:val="20"/>
      <w:lang w:eastAsia="ar-SA"/>
    </w:rPr>
  </w:style>
  <w:style w:type="character" w:styleId="Lienhypertextesuivi">
    <w:name w:val="FollowedHyperlink"/>
    <w:basedOn w:val="Policepardfaut"/>
    <w:uiPriority w:val="99"/>
    <w:semiHidden/>
    <w:unhideWhenUsed/>
    <w:rsid w:val="00E84B1D"/>
    <w:rPr>
      <w:color w:val="800080" w:themeColor="followedHyperlink"/>
      <w:u w:val="single"/>
    </w:rPr>
  </w:style>
  <w:style w:type="paragraph" w:customStyle="1" w:styleId="hdr-western">
    <w:name w:val="hdr-western"/>
    <w:basedOn w:val="Normal"/>
    <w:rsid w:val="004C6AEC"/>
    <w:pPr>
      <w:spacing w:before="100" w:beforeAutospacing="1" w:after="119" w:line="360" w:lineRule="auto"/>
      <w:ind w:left="567"/>
      <w:jc w:val="both"/>
    </w:pPr>
    <w:rPr>
      <w:rFonts w:ascii="Verdana" w:eastAsia="Times New Roman" w:hAnsi="Verdana" w:cs="Times New Roman"/>
      <w:sz w:val="22"/>
      <w:szCs w:val="22"/>
    </w:rPr>
  </w:style>
  <w:style w:type="paragraph" w:styleId="Paragraphedeliste">
    <w:name w:val="List Paragraph"/>
    <w:basedOn w:val="Normal"/>
    <w:uiPriority w:val="34"/>
    <w:qFormat/>
    <w:rsid w:val="004C6AEC"/>
    <w:pPr>
      <w:ind w:left="708"/>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rsouin"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755</Words>
  <Characters>4305</Characters>
  <Application>Microsoft Macintosh Word</Application>
  <DocSecurity>0</DocSecurity>
  <Lines>35</Lines>
  <Paragraphs>8</Paragraphs>
  <ScaleCrop>false</ScaleCrop>
  <Company>Université Rennes 2</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Plantard</dc:creator>
  <cp:keywords/>
  <dc:description/>
  <cp:lastModifiedBy>Véronique Francis</cp:lastModifiedBy>
  <cp:revision>4</cp:revision>
  <dcterms:created xsi:type="dcterms:W3CDTF">2016-01-05T23:43:00Z</dcterms:created>
  <dcterms:modified xsi:type="dcterms:W3CDTF">2016-01-30T20:30:00Z</dcterms:modified>
</cp:coreProperties>
</file>