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1FA" w:rsidRDefault="00DB51FA">
      <w:pPr>
        <w:pStyle w:val="Titre1"/>
        <w:jc w:val="left"/>
        <w:rPr>
          <w:rFonts w:ascii="Calibri" w:hAnsi="Calibri"/>
          <w:sz w:val="24"/>
        </w:rPr>
      </w:pPr>
      <w:bookmarkStart w:id="0" w:name="_GoBack"/>
      <w:bookmarkEnd w:id="0"/>
    </w:p>
    <w:p w:rsidR="00DB51FA" w:rsidRDefault="00D32B02">
      <w:pPr>
        <w:pStyle w:val="Textbody"/>
        <w:jc w:val="both"/>
      </w:pPr>
      <w:r>
        <w:rPr>
          <w:b/>
          <w:bCs/>
          <w:sz w:val="24"/>
        </w:rPr>
        <w:t>Titre</w:t>
      </w:r>
    </w:p>
    <w:p w:rsidR="00DB51FA" w:rsidRDefault="00D32B02">
      <w:pPr>
        <w:pStyle w:val="Textbody"/>
        <w:jc w:val="both"/>
        <w:rPr>
          <w:sz w:val="24"/>
        </w:rPr>
      </w:pPr>
      <w:r>
        <w:rPr>
          <w:sz w:val="24"/>
        </w:rPr>
        <w:t>DES PRATIQUES PEDAGOGIQUES INTERROGEES PAR L'EMERGENCE DU NUMERIQUE</w:t>
      </w:r>
    </w:p>
    <w:p w:rsidR="00DB51FA" w:rsidRDefault="00D32B02">
      <w:pPr>
        <w:pStyle w:val="Textbody"/>
        <w:jc w:val="both"/>
      </w:pPr>
      <w:r>
        <w:rPr>
          <w:b/>
          <w:bCs/>
          <w:sz w:val="24"/>
        </w:rPr>
        <w:t>Résumé</w:t>
      </w:r>
    </w:p>
    <w:p w:rsidR="00DB51FA" w:rsidRDefault="00D32B02">
      <w:pPr>
        <w:pStyle w:val="Textbody"/>
        <w:jc w:val="both"/>
        <w:rPr>
          <w:sz w:val="24"/>
        </w:rPr>
      </w:pPr>
      <w:r>
        <w:rPr>
          <w:sz w:val="24"/>
        </w:rPr>
        <w:t xml:space="preserve">Nous avions pu constater dans le projet Tec-Meus (Kellner, Gremmo, 2011) que les pratiques </w:t>
      </w:r>
      <w:r>
        <w:rPr>
          <w:sz w:val="24"/>
        </w:rPr>
        <w:t>d'enseignement à l'université relevaient majoritairement d'un "impensé pédagogique". En effet, l’étude avait permis de montrer que les choix pédagogiques étaient soit liés à la reproduction de pratiques vécues, observées ou à des tentatives individuelles e</w:t>
      </w:r>
      <w:r>
        <w:rPr>
          <w:sz w:val="24"/>
        </w:rPr>
        <w:t xml:space="preserve">t expérimentales. Très rarement, elles étaient consécutives à des formations en pédagogie ou à des réflexions d’équipes pédagogiques. </w:t>
      </w:r>
    </w:p>
    <w:p w:rsidR="00DB51FA" w:rsidRDefault="00D32B02">
      <w:pPr>
        <w:pStyle w:val="Textbody"/>
        <w:jc w:val="both"/>
        <w:rPr>
          <w:sz w:val="24"/>
        </w:rPr>
      </w:pPr>
      <w:r>
        <w:rPr>
          <w:sz w:val="24"/>
        </w:rPr>
        <w:t>Cependant, l’étude avait, éalement, montré que l’usage (choisi, imposé...) du numérique constituait une opportunité de qu</w:t>
      </w:r>
      <w:r>
        <w:rPr>
          <w:sz w:val="24"/>
        </w:rPr>
        <w:t xml:space="preserve">estionnement pédagogique pour les enseignants-chercheurs. </w:t>
      </w:r>
    </w:p>
    <w:p w:rsidR="00DB51FA" w:rsidRDefault="00D32B02">
      <w:pPr>
        <w:pStyle w:val="Textbody"/>
        <w:jc w:val="both"/>
        <w:rPr>
          <w:sz w:val="24"/>
        </w:rPr>
      </w:pPr>
      <w:r>
        <w:rPr>
          <w:sz w:val="24"/>
        </w:rPr>
        <w:t xml:space="preserve">Dans le cadre de la recherche Sum-Tec (présentée dans la problématisation du présent symposium), nous nous sommes </w:t>
      </w:r>
      <w:proofErr w:type="gramStart"/>
      <w:r>
        <w:rPr>
          <w:sz w:val="24"/>
        </w:rPr>
        <w:t>intéressé</w:t>
      </w:r>
      <w:proofErr w:type="gramEnd"/>
      <w:r>
        <w:rPr>
          <w:sz w:val="24"/>
        </w:rPr>
        <w:t xml:space="preserve"> plus spécifiquement à ces questionnements pédagogiques. </w:t>
      </w:r>
    </w:p>
    <w:p w:rsidR="00DB51FA" w:rsidRDefault="00D32B02">
      <w:pPr>
        <w:pStyle w:val="Textbody"/>
        <w:jc w:val="both"/>
        <w:rPr>
          <w:sz w:val="24"/>
        </w:rPr>
      </w:pPr>
      <w:r>
        <w:rPr>
          <w:sz w:val="24"/>
        </w:rPr>
        <w:t>Nous nous propos</w:t>
      </w:r>
      <w:r>
        <w:rPr>
          <w:sz w:val="24"/>
        </w:rPr>
        <w:t>ons, ainsi, à partir d’analyses thématiques de contenus réalisées sur les 63 entretiens semi-directif de montrer comment l’usage du numérique conduit les enseignants-chercheurs à reconsidérer les « espaces-temps » de l'acte d'apprendre et d'enseigner. Si c</w:t>
      </w:r>
      <w:r>
        <w:rPr>
          <w:sz w:val="24"/>
        </w:rPr>
        <w:t>es questions ne sont pas nouvelles dans le champ de la pédagogie ou de l’andragogie (Maubant, 2004 ; Lenoir, 2006), elles prennent, dans ce contexte d’apprentissage une signification singulière en ce que les objets d’apprentissage sont liés à des savoirs e</w:t>
      </w:r>
      <w:r>
        <w:rPr>
          <w:sz w:val="24"/>
        </w:rPr>
        <w:t xml:space="preserve">n cours de construction (c’est-à-dire issus </w:t>
      </w:r>
      <w:proofErr w:type="gramStart"/>
      <w:r>
        <w:rPr>
          <w:sz w:val="24"/>
        </w:rPr>
        <w:t>d’activités</w:t>
      </w:r>
      <w:proofErr w:type="gramEnd"/>
      <w:r>
        <w:rPr>
          <w:sz w:val="24"/>
        </w:rPr>
        <w:t xml:space="preserve"> de recherche). </w:t>
      </w:r>
    </w:p>
    <w:p w:rsidR="00DB51FA" w:rsidRDefault="00D32B02">
      <w:pPr>
        <w:pStyle w:val="Textbody"/>
        <w:jc w:val="both"/>
        <w:rPr>
          <w:sz w:val="24"/>
        </w:rPr>
      </w:pPr>
      <w:r>
        <w:rPr>
          <w:sz w:val="24"/>
        </w:rPr>
        <w:t>C’est d’ailleurs, cette particularité qui nous conduira, ensuite, à montrer que ces questionnements sur ces espaces-temps sont indissociables d'un questionnement sur les identités soci</w:t>
      </w:r>
      <w:r>
        <w:rPr>
          <w:sz w:val="24"/>
        </w:rPr>
        <w:t>oprofessionnelles (Dubar, 1991) des enseignants-chercheurs. En effet, comment, en tant qu’enseignant-chercheur articuler espace-temps de recherche et  espace-temps pédagogique quand ces temps pédagogiques ne sont plus délimités par les temps de cours et pe</w:t>
      </w:r>
      <w:r>
        <w:rPr>
          <w:sz w:val="24"/>
        </w:rPr>
        <w:t>uvent pénétrés les temps de la recherche via les mails, l’animation de forum… ? Quelles sont les différentes négociations identitaires (Demazières, 2008) et dynamiques identitaires (2001) engendrées par cette coexistence (voire confrontation) des espaces-t</w:t>
      </w:r>
      <w:r>
        <w:rPr>
          <w:sz w:val="24"/>
        </w:rPr>
        <w:t>emps pour les enseignants-</w:t>
      </w:r>
      <w:proofErr w:type="gramStart"/>
      <w:r>
        <w:rPr>
          <w:sz w:val="24"/>
        </w:rPr>
        <w:t>chercheurs  ?</w:t>
      </w:r>
      <w:proofErr w:type="gramEnd"/>
      <w:r>
        <w:rPr>
          <w:sz w:val="24"/>
        </w:rPr>
        <w:t xml:space="preserve"> </w:t>
      </w:r>
    </w:p>
    <w:p w:rsidR="00DB51FA" w:rsidRDefault="00D32B02">
      <w:pPr>
        <w:pStyle w:val="Textbody"/>
        <w:jc w:val="both"/>
        <w:rPr>
          <w:b/>
          <w:bCs/>
          <w:sz w:val="24"/>
        </w:rPr>
      </w:pPr>
      <w:r>
        <w:rPr>
          <w:b/>
          <w:bCs/>
          <w:sz w:val="24"/>
        </w:rPr>
        <w:t>Mots Clés</w:t>
      </w:r>
    </w:p>
    <w:p w:rsidR="00DB51FA" w:rsidRDefault="00D32B02">
      <w:pPr>
        <w:pStyle w:val="Textbody"/>
        <w:rPr>
          <w:i/>
          <w:iCs/>
          <w:sz w:val="24"/>
        </w:rPr>
      </w:pPr>
      <w:r>
        <w:rPr>
          <w:i/>
          <w:iCs/>
          <w:sz w:val="24"/>
        </w:rPr>
        <w:t>Indiquer les mots clés, utiliser le caractère ; comme séparateur. Ils pourront être utilisés comme critère de recherche.</w:t>
      </w:r>
    </w:p>
    <w:p w:rsidR="00DB51FA" w:rsidRDefault="00D32B02">
      <w:pPr>
        <w:pStyle w:val="Textbody"/>
        <w:jc w:val="both"/>
        <w:rPr>
          <w:sz w:val="24"/>
        </w:rPr>
      </w:pPr>
      <w:r>
        <w:rPr>
          <w:sz w:val="24"/>
        </w:rPr>
        <w:t xml:space="preserve">Numérique – identité – enseignants-chercheurs </w:t>
      </w:r>
    </w:p>
    <w:p w:rsidR="00DB51FA" w:rsidRDefault="00D32B02">
      <w:pPr>
        <w:pStyle w:val="Textbody"/>
        <w:jc w:val="both"/>
        <w:rPr>
          <w:b/>
          <w:bCs/>
          <w:sz w:val="24"/>
        </w:rPr>
      </w:pPr>
      <w:r>
        <w:rPr>
          <w:b/>
          <w:bCs/>
          <w:sz w:val="24"/>
        </w:rPr>
        <w:t>Quelques références bibliographiques</w:t>
      </w:r>
    </w:p>
    <w:p w:rsidR="00DB51FA" w:rsidRDefault="00D32B02">
      <w:pPr>
        <w:pStyle w:val="Textebrut"/>
        <w:spacing w:line="360" w:lineRule="auto"/>
        <w:ind w:left="284" w:hanging="284"/>
        <w:jc w:val="both"/>
      </w:pPr>
      <w:r>
        <w:rPr>
          <w:rFonts w:ascii="Calibri" w:eastAsia="SimSun" w:hAnsi="Calibri" w:cs="Lucida Sans"/>
          <w:kern w:val="3"/>
          <w:sz w:val="24"/>
          <w:szCs w:val="24"/>
          <w:lang w:eastAsia="zh-CN" w:bidi="hi-IN"/>
        </w:rPr>
        <w:t xml:space="preserve">Barbot, M.-J., Massou L., (Dirs), 2011, </w:t>
      </w:r>
      <w:r>
        <w:rPr>
          <w:rFonts w:ascii="Calibri" w:eastAsia="SimSun" w:hAnsi="Calibri" w:cs="Lucida Sans"/>
          <w:i/>
          <w:kern w:val="3"/>
          <w:sz w:val="24"/>
          <w:szCs w:val="24"/>
          <w:lang w:eastAsia="zh-CN" w:bidi="hi-IN"/>
        </w:rPr>
        <w:t>TIC et métiers de l’enseignement supérieur : émergences, transformations</w:t>
      </w:r>
      <w:r>
        <w:rPr>
          <w:rFonts w:ascii="Calibri" w:eastAsia="SimSun" w:hAnsi="Calibri" w:cs="Lucida Sans"/>
          <w:kern w:val="3"/>
          <w:sz w:val="24"/>
          <w:szCs w:val="24"/>
          <w:lang w:eastAsia="zh-CN" w:bidi="hi-IN"/>
        </w:rPr>
        <w:t xml:space="preserve">,  Nancy : Presses universitaires de Nancy. </w:t>
      </w:r>
    </w:p>
    <w:p w:rsidR="00DB51FA" w:rsidRDefault="00D32B02">
      <w:pPr>
        <w:spacing w:line="360" w:lineRule="auto"/>
        <w:ind w:left="284" w:hanging="284"/>
        <w:jc w:val="both"/>
      </w:pPr>
      <w:r>
        <w:rPr>
          <w:rFonts w:ascii="Calibri" w:hAnsi="Calibri"/>
        </w:rPr>
        <w:t xml:space="preserve">Dubar, C., </w:t>
      </w:r>
      <w:r>
        <w:rPr>
          <w:rFonts w:ascii="Calibri" w:hAnsi="Calibri"/>
          <w:lang w:eastAsia="fr-FR"/>
        </w:rPr>
        <w:t xml:space="preserve">1998, </w:t>
      </w:r>
      <w:r>
        <w:rPr>
          <w:rFonts w:ascii="Calibri" w:hAnsi="Calibri"/>
          <w:i/>
          <w:lang w:eastAsia="fr-FR"/>
        </w:rPr>
        <w:t>La socialisation. Construction des identités sociales et professionnelles</w:t>
      </w:r>
      <w:r>
        <w:rPr>
          <w:rFonts w:ascii="Calibri" w:hAnsi="Calibri"/>
          <w:lang w:eastAsia="fr-FR"/>
        </w:rPr>
        <w:t>, Paris :</w:t>
      </w:r>
      <w:r>
        <w:rPr>
          <w:rFonts w:ascii="Calibri" w:hAnsi="Calibri"/>
          <w:lang w:eastAsia="fr-FR"/>
        </w:rPr>
        <w:t xml:space="preserve"> A. Colin, 1998</w:t>
      </w:r>
    </w:p>
    <w:p w:rsidR="00DB51FA" w:rsidRDefault="00D32B02">
      <w:pPr>
        <w:spacing w:line="360" w:lineRule="auto"/>
        <w:ind w:left="284" w:hanging="284"/>
        <w:jc w:val="both"/>
      </w:pPr>
      <w:r>
        <w:rPr>
          <w:rFonts w:ascii="Calibri" w:hAnsi="Calibri"/>
        </w:rPr>
        <w:t xml:space="preserve">Kaddouri M., 2001, Vers une typologie des dynamiques identitaires, </w:t>
      </w:r>
      <w:r>
        <w:rPr>
          <w:rFonts w:ascii="Calibri" w:hAnsi="Calibri"/>
          <w:i/>
        </w:rPr>
        <w:t>Question des recherches en éducation</w:t>
      </w:r>
      <w:r>
        <w:rPr>
          <w:rFonts w:ascii="Calibri" w:hAnsi="Calibri"/>
        </w:rPr>
        <w:t>, INRP, coll. Education, 163-175.</w:t>
      </w:r>
    </w:p>
    <w:p w:rsidR="00DB51FA" w:rsidRDefault="00DB51FA">
      <w:pPr>
        <w:spacing w:line="360" w:lineRule="auto"/>
        <w:ind w:left="284" w:hanging="284"/>
        <w:jc w:val="both"/>
        <w:rPr>
          <w:rFonts w:ascii="Calibri" w:hAnsi="Calibri"/>
          <w:lang w:eastAsia="fr-FR"/>
        </w:rPr>
      </w:pPr>
    </w:p>
    <w:p w:rsidR="00DB51FA" w:rsidRDefault="00DB51FA">
      <w:pPr>
        <w:pStyle w:val="Textbody"/>
        <w:jc w:val="both"/>
        <w:rPr>
          <w:sz w:val="24"/>
        </w:rPr>
      </w:pPr>
    </w:p>
    <w:p w:rsidR="00DB51FA" w:rsidRDefault="00D32B02">
      <w:pPr>
        <w:pStyle w:val="Textbody"/>
        <w:keepNext/>
        <w:rPr>
          <w:b/>
          <w:sz w:val="24"/>
        </w:rPr>
      </w:pPr>
      <w:r>
        <w:rPr>
          <w:b/>
          <w:sz w:val="24"/>
        </w:rPr>
        <w:t>Regard réflexif sur la question de recherche</w:t>
      </w:r>
    </w:p>
    <w:p w:rsidR="00DB51FA" w:rsidRDefault="00D32B02">
      <w:pPr>
        <w:pStyle w:val="Textbody"/>
        <w:jc w:val="both"/>
        <w:rPr>
          <w:sz w:val="24"/>
        </w:rPr>
      </w:pPr>
      <w:r>
        <w:rPr>
          <w:sz w:val="24"/>
        </w:rPr>
        <w:t xml:space="preserve">Participer à une recherche concernant son groupe </w:t>
      </w:r>
      <w:r>
        <w:rPr>
          <w:sz w:val="24"/>
        </w:rPr>
        <w:t>professionnelle de faire de son implication personnelle un objet de travail et d’interroger individuellement et collectivement sa pratique de recherche (Whittington, 2006). Nous tenterons de montrer par des exemples concrets en quoi cette activité réflexiv</w:t>
      </w:r>
      <w:r>
        <w:rPr>
          <w:sz w:val="24"/>
        </w:rPr>
        <w:t xml:space="preserve">e est constitutive de la recherche elle-même dans ses différentes temporalités : élaboration du projet de recherche, recueil et analyse des données ainsi que publications. </w:t>
      </w:r>
    </w:p>
    <w:p w:rsidR="00DB51FA" w:rsidRDefault="00D32B02">
      <w:pPr>
        <w:pStyle w:val="Textbody"/>
        <w:jc w:val="both"/>
      </w:pPr>
      <w:r>
        <w:rPr>
          <w:b/>
          <w:color w:val="343434"/>
          <w:sz w:val="24"/>
        </w:rPr>
        <w:t xml:space="preserve">Champs thématiques </w:t>
      </w:r>
      <w:r>
        <w:rPr>
          <w:color w:val="343434"/>
          <w:sz w:val="24"/>
        </w:rPr>
        <w:t>(à choisir dans un menu déroulant, possibilité de choix multiple</w:t>
      </w:r>
      <w:r>
        <w:rPr>
          <w:color w:val="343434"/>
          <w:sz w:val="24"/>
        </w:rPr>
        <w:t>s)</w:t>
      </w:r>
    </w:p>
    <w:p w:rsidR="00DB51FA" w:rsidRDefault="00D32B02">
      <w:pPr>
        <w:pStyle w:val="Textbody"/>
        <w:jc w:val="both"/>
        <w:rPr>
          <w:color w:val="343434"/>
          <w:sz w:val="24"/>
        </w:rPr>
      </w:pPr>
      <w:r>
        <w:rPr>
          <w:color w:val="343434"/>
          <w:sz w:val="24"/>
        </w:rPr>
        <w:t>TICE</w:t>
      </w:r>
    </w:p>
    <w:p w:rsidR="00DB51FA" w:rsidRDefault="00D32B02">
      <w:pPr>
        <w:pStyle w:val="Textbody"/>
        <w:jc w:val="both"/>
        <w:rPr>
          <w:color w:val="343434"/>
          <w:sz w:val="24"/>
        </w:rPr>
      </w:pPr>
      <w:r>
        <w:rPr>
          <w:color w:val="343434"/>
          <w:sz w:val="24"/>
        </w:rPr>
        <w:t xml:space="preserve">Enseignement supérieur </w:t>
      </w:r>
    </w:p>
    <w:p w:rsidR="00DB51FA" w:rsidRDefault="00DB51FA">
      <w:pPr>
        <w:pStyle w:val="Textbody"/>
        <w:jc w:val="both"/>
        <w:rPr>
          <w:sz w:val="24"/>
        </w:rPr>
      </w:pPr>
    </w:p>
    <w:p w:rsidR="00DB51FA" w:rsidRDefault="00DB51FA">
      <w:pPr>
        <w:pStyle w:val="Textbody"/>
        <w:jc w:val="both"/>
        <w:rPr>
          <w:sz w:val="24"/>
        </w:rPr>
      </w:pPr>
    </w:p>
    <w:p w:rsidR="00DB51FA" w:rsidRDefault="00DB51FA">
      <w:pPr>
        <w:pStyle w:val="Textbody"/>
        <w:jc w:val="both"/>
        <w:rPr>
          <w:sz w:val="24"/>
        </w:rPr>
      </w:pPr>
    </w:p>
    <w:p w:rsidR="00DB51FA" w:rsidRDefault="00D32B02">
      <w:pPr>
        <w:pStyle w:val="Textbody"/>
        <w:jc w:val="both"/>
        <w:rPr>
          <w:sz w:val="24"/>
        </w:rPr>
      </w:pPr>
      <w:r>
        <w:rPr>
          <w:sz w:val="24"/>
        </w:rPr>
        <w:t>**************************</w:t>
      </w:r>
    </w:p>
    <w:p w:rsidR="00DB51FA" w:rsidRDefault="00D32B02">
      <w:pPr>
        <w:pStyle w:val="Textbody"/>
        <w:jc w:val="both"/>
        <w:rPr>
          <w:sz w:val="24"/>
        </w:rPr>
      </w:pPr>
      <w:r>
        <w:rPr>
          <w:sz w:val="24"/>
        </w:rPr>
        <w:t xml:space="preserve">Nom </w:t>
      </w:r>
    </w:p>
    <w:p w:rsidR="00DB51FA" w:rsidRDefault="00D32B02">
      <w:pPr>
        <w:pStyle w:val="Textbody"/>
        <w:jc w:val="both"/>
        <w:rPr>
          <w:sz w:val="24"/>
        </w:rPr>
      </w:pPr>
      <w:r>
        <w:rPr>
          <w:sz w:val="24"/>
        </w:rPr>
        <w:t>Lavielle-Gutnik</w:t>
      </w:r>
    </w:p>
    <w:p w:rsidR="00DB51FA" w:rsidRDefault="00DB51FA">
      <w:pPr>
        <w:pStyle w:val="Textbody"/>
        <w:jc w:val="both"/>
        <w:rPr>
          <w:sz w:val="24"/>
        </w:rPr>
      </w:pPr>
    </w:p>
    <w:p w:rsidR="00DB51FA" w:rsidRDefault="00D32B02">
      <w:pPr>
        <w:pStyle w:val="Textbody"/>
        <w:rPr>
          <w:sz w:val="24"/>
        </w:rPr>
      </w:pPr>
      <w:r>
        <w:rPr>
          <w:sz w:val="24"/>
        </w:rPr>
        <w:t>Prénom</w:t>
      </w:r>
    </w:p>
    <w:p w:rsidR="00DB51FA" w:rsidRDefault="00D32B02">
      <w:pPr>
        <w:pStyle w:val="Textbody"/>
        <w:jc w:val="both"/>
        <w:rPr>
          <w:sz w:val="24"/>
        </w:rPr>
      </w:pPr>
      <w:r>
        <w:rPr>
          <w:sz w:val="24"/>
        </w:rPr>
        <w:t>Nathalie</w:t>
      </w:r>
    </w:p>
    <w:p w:rsidR="00DB51FA" w:rsidRDefault="00D32B02">
      <w:pPr>
        <w:pStyle w:val="Textbody"/>
        <w:rPr>
          <w:sz w:val="24"/>
        </w:rPr>
      </w:pPr>
      <w:r>
        <w:rPr>
          <w:sz w:val="24"/>
        </w:rPr>
        <w:t>Autre(s) prénom(s), Initiales</w:t>
      </w:r>
    </w:p>
    <w:p w:rsidR="00DB51FA" w:rsidRDefault="00DB51FA">
      <w:pPr>
        <w:pStyle w:val="Textbody"/>
        <w:jc w:val="both"/>
        <w:rPr>
          <w:sz w:val="24"/>
        </w:rPr>
      </w:pPr>
    </w:p>
    <w:p w:rsidR="00DB51FA" w:rsidRDefault="00D32B02">
      <w:pPr>
        <w:pStyle w:val="Textbody"/>
        <w:rPr>
          <w:sz w:val="24"/>
        </w:rPr>
      </w:pPr>
      <w:r>
        <w:rPr>
          <w:sz w:val="24"/>
        </w:rPr>
        <w:t>Email</w:t>
      </w:r>
    </w:p>
    <w:p w:rsidR="00DB51FA" w:rsidRDefault="00D32B02">
      <w:pPr>
        <w:pStyle w:val="Textbody"/>
        <w:jc w:val="both"/>
        <w:rPr>
          <w:sz w:val="24"/>
        </w:rPr>
      </w:pPr>
      <w:r>
        <w:rPr>
          <w:sz w:val="24"/>
        </w:rPr>
        <w:t>Nathalie.lavielle-gutnik@univ-lorraine.fr</w:t>
      </w:r>
    </w:p>
    <w:p w:rsidR="00DB51FA" w:rsidRDefault="00D32B02">
      <w:pPr>
        <w:pStyle w:val="Textbody"/>
        <w:rPr>
          <w:sz w:val="24"/>
        </w:rPr>
      </w:pPr>
      <w:r>
        <w:rPr>
          <w:sz w:val="24"/>
        </w:rPr>
        <w:t>Equipe de recherche</w:t>
      </w:r>
    </w:p>
    <w:p w:rsidR="00DB51FA" w:rsidRDefault="00D32B02">
      <w:pPr>
        <w:rPr>
          <w:rFonts w:ascii="Calibri" w:hAnsi="Calibri"/>
        </w:rPr>
      </w:pPr>
      <w:r>
        <w:rPr>
          <w:rFonts w:ascii="Calibri" w:hAnsi="Calibri"/>
        </w:rPr>
        <w:t xml:space="preserve">Lisec (EA 2310) – Equipe ATIP </w:t>
      </w:r>
    </w:p>
    <w:p w:rsidR="00DB51FA" w:rsidRDefault="00DB51FA">
      <w:pPr>
        <w:pStyle w:val="Textbody"/>
        <w:rPr>
          <w:sz w:val="24"/>
        </w:rPr>
      </w:pPr>
    </w:p>
    <w:p w:rsidR="00DB51FA" w:rsidRDefault="00D32B02">
      <w:pPr>
        <w:pStyle w:val="Textbody"/>
        <w:rPr>
          <w:sz w:val="24"/>
        </w:rPr>
      </w:pPr>
      <w:r>
        <w:rPr>
          <w:sz w:val="24"/>
        </w:rPr>
        <w:t>Url page personnelle</w:t>
      </w:r>
    </w:p>
    <w:p w:rsidR="00DB51FA" w:rsidRDefault="00DB51FA">
      <w:pPr>
        <w:pStyle w:val="Textbody"/>
        <w:jc w:val="both"/>
        <w:rPr>
          <w:sz w:val="24"/>
        </w:rPr>
      </w:pPr>
    </w:p>
    <w:sectPr w:rsidR="00DB51FA">
      <w:head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B02" w:rsidRDefault="00D32B02">
      <w:r>
        <w:separator/>
      </w:r>
    </w:p>
  </w:endnote>
  <w:endnote w:type="continuationSeparator" w:id="0">
    <w:p w:rsidR="00D32B02" w:rsidRDefault="00D3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Symbol">
    <w:charset w:val="00"/>
    <w:family w:val="auto"/>
    <w:pitch w:val="default"/>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B02" w:rsidRDefault="00D32B02">
      <w:r>
        <w:rPr>
          <w:color w:val="000000"/>
        </w:rPr>
        <w:separator/>
      </w:r>
    </w:p>
  </w:footnote>
  <w:footnote w:type="continuationSeparator" w:id="0">
    <w:p w:rsidR="00D32B02" w:rsidRDefault="00D32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DE4" w:rsidRDefault="00D32B02">
    <w:pPr>
      <w:pStyle w:val="Standard"/>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B51FA"/>
    <w:rsid w:val="001A7E82"/>
    <w:rsid w:val="00D32B02"/>
    <w:rsid w:val="00DB51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92FD2F-5BA1-40A2-8CE5-7709F770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itre1">
    <w:name w:val="heading 1"/>
    <w:next w:val="Textbody"/>
    <w:pPr>
      <w:suppressAutoHyphens/>
      <w:spacing w:before="283" w:after="227"/>
      <w:ind w:left="317" w:right="170" w:hanging="431"/>
      <w:jc w:val="center"/>
      <w:outlineLvl w:val="0"/>
    </w:pPr>
    <w:rPr>
      <w:rFonts w:ascii="Arial" w:hAnsi="Arial"/>
      <w:b/>
      <w:i/>
      <w:smallCaps/>
      <w:sz w:val="26"/>
    </w:rPr>
  </w:style>
  <w:style w:type="paragraph" w:styleId="Titre3">
    <w:name w:val="heading 3"/>
    <w:basedOn w:val="Heading"/>
    <w:next w:val="Textbody"/>
    <w:pPr>
      <w:outlineLvl w:val="2"/>
    </w:pPr>
    <w:rPr>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rPr>
      <w:rFonts w:ascii="Calibri" w:hAnsi="Calibri"/>
      <w:sz w:val="22"/>
    </w:rPr>
  </w:style>
  <w:style w:type="paragraph" w:customStyle="1" w:styleId="Heading">
    <w:name w:val="Heading"/>
    <w:basedOn w:val="Standard"/>
    <w:next w:val="Textbody"/>
    <w:pPr>
      <w:keepNext/>
      <w:shd w:val="clear" w:color="auto" w:fill="DDDDDD"/>
      <w:spacing w:before="238" w:after="856"/>
    </w:pPr>
    <w:rPr>
      <w:rFonts w:ascii="Arial" w:hAnsi="Arial"/>
      <w:smallCaps/>
      <w:sz w:val="32"/>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sz w:val="24"/>
    </w:rPr>
  </w:style>
  <w:style w:type="paragraph" w:customStyle="1" w:styleId="Index">
    <w:name w:val="Index"/>
    <w:basedOn w:val="Standard"/>
    <w:pPr>
      <w:suppressLineNumbers/>
    </w:pPr>
  </w:style>
  <w:style w:type="paragraph" w:styleId="En-tt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styleId="Accentuation">
    <w:name w:val="Emphasis"/>
    <w:rPr>
      <w:i/>
      <w:iCs/>
    </w:rPr>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StrongEmphasis">
    <w:name w:val="Strong Emphasis"/>
    <w:rPr>
      <w:b/>
      <w:bCs/>
    </w:rPr>
  </w:style>
  <w:style w:type="paragraph" w:styleId="Textebrut">
    <w:name w:val="Plain Text"/>
    <w:basedOn w:val="Normal"/>
    <w:pPr>
      <w:widowControl/>
      <w:suppressAutoHyphens w:val="0"/>
      <w:textAlignment w:val="auto"/>
    </w:pPr>
    <w:rPr>
      <w:rFonts w:ascii="Arial" w:eastAsia="Calibri" w:hAnsi="Arial" w:cs="Times New Roman"/>
      <w:kern w:val="0"/>
      <w:sz w:val="20"/>
      <w:szCs w:val="21"/>
      <w:lang w:eastAsia="en-US" w:bidi="ar-SA"/>
    </w:rPr>
  </w:style>
  <w:style w:type="character" w:customStyle="1" w:styleId="TextebrutCar">
    <w:name w:val="Texte brut Car"/>
    <w:basedOn w:val="Policepardfaut"/>
    <w:rPr>
      <w:rFonts w:ascii="Arial" w:eastAsia="Calibri" w:hAnsi="Arial" w:cs="Times New Roman"/>
      <w:kern w:val="0"/>
      <w:sz w:val="20"/>
      <w:szCs w:val="21"/>
      <w:lang w:eastAsia="en-US" w:bidi="ar-SA"/>
    </w:rPr>
  </w:style>
  <w:style w:type="paragraph" w:styleId="Pieddepage">
    <w:name w:val="footer"/>
    <w:basedOn w:val="Normal"/>
    <w:pPr>
      <w:tabs>
        <w:tab w:val="center" w:pos="4536"/>
        <w:tab w:val="right" w:pos="9072"/>
      </w:tabs>
    </w:pPr>
    <w:rPr>
      <w:rFonts w:cs="Mangal"/>
      <w:szCs w:val="21"/>
    </w:rPr>
  </w:style>
  <w:style w:type="character" w:customStyle="1" w:styleId="PieddepageCar">
    <w:name w:val="Pied de page Car"/>
    <w:basedOn w:val="Policepardfaut"/>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3171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Chagnoux</dc:creator>
  <cp:lastModifiedBy>Lavielle Gutnik</cp:lastModifiedBy>
  <cp:revision>2</cp:revision>
  <dcterms:created xsi:type="dcterms:W3CDTF">2016-01-10T16:20:00Z</dcterms:created>
  <dcterms:modified xsi:type="dcterms:W3CDTF">2016-01-10T16:20:00Z</dcterms:modified>
</cp:coreProperties>
</file>