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7609" w:rsidRDefault="00047609" w:rsidP="006C0040">
      <w:pPr>
        <w:pStyle w:val="Titre1"/>
        <w:numPr>
          <w:ilvl w:val="0"/>
          <w:numId w:val="0"/>
        </w:numPr>
        <w:ind w:left="317"/>
        <w:jc w:val="left"/>
        <w:rPr>
          <w:rFonts w:ascii="Verdana" w:hAnsi="Verdana"/>
          <w:b/>
          <w:bCs/>
          <w:sz w:val="20"/>
        </w:rPr>
      </w:pPr>
    </w:p>
    <w:p w:rsidR="00047609" w:rsidRDefault="00047609" w:rsidP="006C0040">
      <w:pPr>
        <w:pStyle w:val="Corpsdetexte"/>
        <w:jc w:val="both"/>
        <w:rPr>
          <w:rFonts w:ascii="Verdana" w:hAnsi="Verdana"/>
          <w:sz w:val="20"/>
        </w:rPr>
      </w:pPr>
      <w:r>
        <w:rPr>
          <w:rFonts w:ascii="Verdana" w:hAnsi="Verdana"/>
          <w:b/>
          <w:bCs/>
          <w:sz w:val="20"/>
        </w:rPr>
        <w:t>Titre</w:t>
      </w:r>
    </w:p>
    <w:p w:rsidR="00047609" w:rsidRDefault="00570C22" w:rsidP="006C0040">
      <w:pPr>
        <w:pStyle w:val="Corpsdetexte"/>
        <w:jc w:val="both"/>
        <w:rPr>
          <w:rFonts w:ascii="Verdana" w:hAnsi="Verdana"/>
          <w:sz w:val="20"/>
        </w:rPr>
      </w:pPr>
      <w:r>
        <w:rPr>
          <w:rFonts w:ascii="Verdana" w:hAnsi="Verdana"/>
          <w:sz w:val="20"/>
        </w:rPr>
        <w:t>Q</w:t>
      </w:r>
      <w:r w:rsidR="00B83158">
        <w:rPr>
          <w:rFonts w:ascii="Verdana" w:hAnsi="Verdana"/>
          <w:sz w:val="20"/>
        </w:rPr>
        <w:t>uelles intentions derrière</w:t>
      </w:r>
      <w:r w:rsidR="00B83158" w:rsidRPr="00B83158">
        <w:rPr>
          <w:rFonts w:ascii="Verdana" w:hAnsi="Verdana"/>
          <w:sz w:val="20"/>
        </w:rPr>
        <w:t xml:space="preserve"> </w:t>
      </w:r>
      <w:r w:rsidR="00B83158">
        <w:rPr>
          <w:rFonts w:ascii="Verdana" w:hAnsi="Verdana"/>
          <w:sz w:val="20"/>
        </w:rPr>
        <w:t>les choix d’outils de communication</w:t>
      </w:r>
      <w:r w:rsidR="00C41FE9">
        <w:rPr>
          <w:rFonts w:ascii="Verdana" w:hAnsi="Verdana"/>
          <w:sz w:val="20"/>
        </w:rPr>
        <w:t xml:space="preserve"> par des </w:t>
      </w:r>
      <w:r w:rsidRPr="00B83158">
        <w:rPr>
          <w:rFonts w:ascii="Verdana" w:hAnsi="Verdana"/>
          <w:sz w:val="20"/>
        </w:rPr>
        <w:t xml:space="preserve">enseignants </w:t>
      </w:r>
      <w:r>
        <w:rPr>
          <w:rFonts w:ascii="Verdana" w:hAnsi="Verdana"/>
          <w:sz w:val="20"/>
        </w:rPr>
        <w:t>de</w:t>
      </w:r>
      <w:r w:rsidRPr="00B83158">
        <w:rPr>
          <w:rFonts w:ascii="Verdana" w:hAnsi="Verdana"/>
          <w:sz w:val="20"/>
        </w:rPr>
        <w:t xml:space="preserve"> SH</w:t>
      </w:r>
      <w:r>
        <w:rPr>
          <w:rFonts w:ascii="Verdana" w:hAnsi="Verdana"/>
          <w:sz w:val="20"/>
        </w:rPr>
        <w:t>S </w:t>
      </w:r>
      <w:r w:rsidR="00B83158" w:rsidRPr="00B83158">
        <w:rPr>
          <w:rFonts w:ascii="Verdana" w:hAnsi="Verdana"/>
          <w:sz w:val="20"/>
        </w:rPr>
        <w:t>?</w:t>
      </w:r>
    </w:p>
    <w:p w:rsidR="00047609" w:rsidRDefault="00047609" w:rsidP="006C0040">
      <w:pPr>
        <w:pStyle w:val="Corpsdetexte"/>
        <w:jc w:val="both"/>
        <w:rPr>
          <w:rFonts w:ascii="Verdana" w:hAnsi="Verdana"/>
          <w:sz w:val="20"/>
        </w:rPr>
      </w:pPr>
      <w:r>
        <w:rPr>
          <w:rFonts w:ascii="Verdana" w:hAnsi="Verdana"/>
          <w:b/>
          <w:bCs/>
          <w:sz w:val="20"/>
        </w:rPr>
        <w:t>Résumé</w:t>
      </w:r>
    </w:p>
    <w:p w:rsidR="0011226A" w:rsidRDefault="00B83158" w:rsidP="006C0040">
      <w:pPr>
        <w:pStyle w:val="Corpsdetexte"/>
        <w:rPr>
          <w:rFonts w:ascii="Verdana" w:hAnsi="Verdana"/>
          <w:sz w:val="20"/>
        </w:rPr>
      </w:pPr>
      <w:r w:rsidRPr="00B83158">
        <w:rPr>
          <w:rFonts w:ascii="Verdana" w:hAnsi="Verdana"/>
          <w:sz w:val="20"/>
        </w:rPr>
        <w:t>Le développement des TIC (en tant que dispositifs sociotechniques) dans et hors de l’enseignement supérieur (Col, Fenouillet, 2007), avec le développement différencié de compétences spécifiques que cela implique, interpelle les pratiques pédagogiques</w:t>
      </w:r>
      <w:r w:rsidR="0011226A">
        <w:rPr>
          <w:rFonts w:ascii="Verdana" w:hAnsi="Verdana"/>
          <w:sz w:val="20"/>
        </w:rPr>
        <w:t xml:space="preserve"> des enseignants-chercheurs</w:t>
      </w:r>
      <w:r w:rsidRPr="00B83158">
        <w:rPr>
          <w:rFonts w:ascii="Verdana" w:hAnsi="Verdana"/>
          <w:sz w:val="20"/>
        </w:rPr>
        <w:t xml:space="preserve">. </w:t>
      </w:r>
      <w:r w:rsidR="00AE75B1">
        <w:rPr>
          <w:rFonts w:ascii="Verdana" w:hAnsi="Verdana"/>
          <w:sz w:val="20"/>
        </w:rPr>
        <w:t>Q</w:t>
      </w:r>
      <w:r w:rsidR="00AE75B1" w:rsidRPr="00AE75B1">
        <w:rPr>
          <w:rFonts w:ascii="Verdana" w:hAnsi="Verdana"/>
          <w:sz w:val="20"/>
        </w:rPr>
        <w:t>u'on le veuille ou non,</w:t>
      </w:r>
      <w:r w:rsidR="00AE75B1">
        <w:rPr>
          <w:rFonts w:ascii="Verdana" w:hAnsi="Verdana"/>
          <w:sz w:val="20"/>
        </w:rPr>
        <w:t xml:space="preserve"> </w:t>
      </w:r>
      <w:r w:rsidR="00570C22">
        <w:rPr>
          <w:rFonts w:ascii="Verdana" w:hAnsi="Verdana"/>
          <w:sz w:val="20"/>
        </w:rPr>
        <w:t xml:space="preserve">les TIC pénètrent l’université notamment par l’intermédiaire des étudiants qui </w:t>
      </w:r>
      <w:r w:rsidR="00570C22" w:rsidRPr="00EE42B0">
        <w:rPr>
          <w:rFonts w:ascii="Verdana" w:hAnsi="Verdana"/>
          <w:sz w:val="20"/>
        </w:rPr>
        <w:t>importent leurs pratiques numériques usuelles dans leurs pratiques d'appr</w:t>
      </w:r>
      <w:bookmarkStart w:id="0" w:name="_GoBack"/>
      <w:bookmarkEnd w:id="0"/>
      <w:r w:rsidR="00570C22" w:rsidRPr="00EE42B0">
        <w:rPr>
          <w:rFonts w:ascii="Verdana" w:hAnsi="Verdana"/>
          <w:sz w:val="20"/>
        </w:rPr>
        <w:t>entissage</w:t>
      </w:r>
      <w:r w:rsidR="00570C22">
        <w:rPr>
          <w:rFonts w:ascii="Verdana" w:hAnsi="Verdana"/>
          <w:sz w:val="20"/>
        </w:rPr>
        <w:t xml:space="preserve">. </w:t>
      </w:r>
      <w:r w:rsidR="0011226A" w:rsidRPr="0011226A">
        <w:rPr>
          <w:rFonts w:ascii="Verdana" w:hAnsi="Verdana"/>
          <w:sz w:val="20"/>
        </w:rPr>
        <w:t xml:space="preserve">Même si les TIC n’entraînent pas automatiquement de changement de paradigme entre instruction et apprentissage (Gremmo, Kellner, 2011), l’étude </w:t>
      </w:r>
      <w:proofErr w:type="spellStart"/>
      <w:r w:rsidR="0011226A" w:rsidRPr="0011226A">
        <w:rPr>
          <w:rFonts w:ascii="Verdana" w:hAnsi="Verdana"/>
          <w:sz w:val="20"/>
        </w:rPr>
        <w:t>Tecmeus</w:t>
      </w:r>
      <w:proofErr w:type="spellEnd"/>
      <w:r w:rsidR="0011226A" w:rsidRPr="0011226A">
        <w:rPr>
          <w:rFonts w:ascii="Verdana" w:hAnsi="Verdana"/>
          <w:sz w:val="20"/>
        </w:rPr>
        <w:t xml:space="preserve"> a montré que leur usage constitue un révélateur des pratiques et fondements pédagogiques des enseignants-ch</w:t>
      </w:r>
      <w:r w:rsidR="0011226A">
        <w:rPr>
          <w:rFonts w:ascii="Verdana" w:hAnsi="Verdana"/>
          <w:sz w:val="20"/>
        </w:rPr>
        <w:t>ercheurs (Barbot, Massou 2011).</w:t>
      </w:r>
    </w:p>
    <w:p w:rsidR="00B83158" w:rsidRDefault="00B83158" w:rsidP="006C0040">
      <w:pPr>
        <w:pStyle w:val="Corpsdetexte"/>
        <w:rPr>
          <w:rFonts w:ascii="Verdana" w:hAnsi="Verdana"/>
          <w:sz w:val="20"/>
        </w:rPr>
      </w:pPr>
      <w:r w:rsidRPr="00B83158">
        <w:rPr>
          <w:rFonts w:ascii="Verdana" w:hAnsi="Verdana"/>
          <w:sz w:val="20"/>
        </w:rPr>
        <w:t xml:space="preserve">Dans périmètre de la vie sociale et citoyenne, Compiègne (2011) avance l’hypothèse selon laquelle le développement des TIC pourrait conduire à une redistribution des pouvoirs, à un partage et un renforcement de la liberté de parole, ainsi qu’à un essor des modalités </w:t>
      </w:r>
      <w:r w:rsidR="00EE42B0">
        <w:rPr>
          <w:rFonts w:ascii="Verdana" w:hAnsi="Verdana"/>
          <w:sz w:val="20"/>
        </w:rPr>
        <w:t xml:space="preserve">participatives et coopératives. </w:t>
      </w:r>
      <w:r w:rsidRPr="00B83158">
        <w:rPr>
          <w:rFonts w:ascii="Verdana" w:hAnsi="Verdana"/>
          <w:sz w:val="20"/>
        </w:rPr>
        <w:t>Cette communication abordera les modalités relationnelles et interactionnelles que les enseignants-chercheurs mettent en place avec les étudiants lorsqu’ils choisissent d’utiliser des outils numériques, en particulier la messagerie électronique, les forums et plus largement les LMS. En nous appuyant sur le corpus d’entretiens réalisés pour le projet SUMTEC, nous examinons dans quelle mesure l’usage énoncé des TIC s’articule ou pas avec l’émergence de nouvelles formes de relations entre enseignants-chercheurs et étudiants. Nous focalisons en particulier sur l’intention qui, dans les discours des enseignants chercheurs interrogés, sous-tend l’utilisation d’outils numériques étudiés.</w:t>
      </w:r>
    </w:p>
    <w:p w:rsidR="00047609" w:rsidRDefault="00047609" w:rsidP="006C0040">
      <w:pPr>
        <w:pStyle w:val="Corpsdetexte"/>
        <w:jc w:val="both"/>
        <w:rPr>
          <w:rFonts w:ascii="Verdana" w:hAnsi="Verdana"/>
          <w:sz w:val="20"/>
        </w:rPr>
      </w:pPr>
    </w:p>
    <w:p w:rsidR="00047609" w:rsidRDefault="00047609" w:rsidP="006C0040">
      <w:pPr>
        <w:pStyle w:val="Corpsdetexte"/>
        <w:jc w:val="both"/>
        <w:rPr>
          <w:i/>
          <w:iCs/>
        </w:rPr>
      </w:pPr>
      <w:r>
        <w:rPr>
          <w:rFonts w:ascii="Verdana" w:hAnsi="Verdana"/>
          <w:b/>
          <w:bCs/>
          <w:sz w:val="20"/>
        </w:rPr>
        <w:t>Mots Clés</w:t>
      </w:r>
    </w:p>
    <w:p w:rsidR="00047609" w:rsidRDefault="00047609" w:rsidP="006C0040">
      <w:pPr>
        <w:pStyle w:val="Corpsdetexte"/>
        <w:rPr>
          <w:rFonts w:ascii="Verdana" w:hAnsi="Verdana"/>
          <w:sz w:val="20"/>
        </w:rPr>
      </w:pPr>
      <w:r>
        <w:rPr>
          <w:i/>
          <w:iCs/>
        </w:rPr>
        <w:t>Indiquer les mots clés, utiliser le caractère ; comme séparateur. Ils pourront être utilisés comme critère de recherche.</w:t>
      </w:r>
    </w:p>
    <w:p w:rsidR="00047609" w:rsidRDefault="00BF4871" w:rsidP="006C0040">
      <w:pPr>
        <w:pStyle w:val="Corpsdetexte"/>
        <w:jc w:val="both"/>
        <w:rPr>
          <w:rFonts w:ascii="Verdana" w:hAnsi="Verdana"/>
          <w:sz w:val="20"/>
        </w:rPr>
      </w:pPr>
      <w:r>
        <w:rPr>
          <w:rFonts w:ascii="Verdana" w:hAnsi="Verdana"/>
          <w:sz w:val="20"/>
        </w:rPr>
        <w:t xml:space="preserve">Pratiques pédagogiques universitaires ; outils numériques ; </w:t>
      </w:r>
      <w:r w:rsidR="00433EEF">
        <w:rPr>
          <w:rFonts w:ascii="Verdana" w:hAnsi="Verdana"/>
          <w:sz w:val="20"/>
        </w:rPr>
        <w:t>communication</w:t>
      </w:r>
    </w:p>
    <w:p w:rsidR="00C323CE" w:rsidRPr="00C323CE" w:rsidRDefault="00047609" w:rsidP="006C0040">
      <w:pPr>
        <w:pStyle w:val="Corpsdetexte"/>
        <w:jc w:val="both"/>
      </w:pPr>
      <w:r>
        <w:rPr>
          <w:rFonts w:ascii="Verdana" w:hAnsi="Verdana"/>
          <w:b/>
          <w:bCs/>
          <w:sz w:val="20"/>
        </w:rPr>
        <w:t>Quelques références bibliographiques</w:t>
      </w:r>
    </w:p>
    <w:p w:rsidR="00433EEF" w:rsidRDefault="00433EEF" w:rsidP="006C0040">
      <w:pPr>
        <w:pStyle w:val="Corpsdetexte"/>
        <w:jc w:val="both"/>
      </w:pPr>
      <w:r>
        <w:t xml:space="preserve">Barbot M.-J., Massou L., </w:t>
      </w:r>
      <w:proofErr w:type="spellStart"/>
      <w:proofErr w:type="gramStart"/>
      <w:r>
        <w:t>dir</w:t>
      </w:r>
      <w:proofErr w:type="spellEnd"/>
      <w:r>
        <w:t>.,</w:t>
      </w:r>
      <w:proofErr w:type="gramEnd"/>
      <w:r>
        <w:t xml:space="preserve"> TIC et métiers de l'enseignement supérieur : émergences, transformations. Questions de communication, série actes 14/2011, Nancy, Presses Universitaires de Nancy, novembre 2011.</w:t>
      </w:r>
    </w:p>
    <w:p w:rsidR="00433EEF" w:rsidRDefault="00433EEF" w:rsidP="006C0040">
      <w:pPr>
        <w:pStyle w:val="Corpsdetexte"/>
        <w:jc w:val="both"/>
      </w:pPr>
      <w:r>
        <w:t xml:space="preserve">Col, C., &amp; Fenouillet, F. (2007). Déploiement du e-learning en sciences de </w:t>
      </w:r>
      <w:r w:rsidR="00D373C4">
        <w:t>l’éducation :</w:t>
      </w:r>
      <w:r>
        <w:t xml:space="preserve"> état des lieux en France. International Journal of Technologies in </w:t>
      </w:r>
      <w:proofErr w:type="spellStart"/>
      <w:r>
        <w:t>Higher</w:t>
      </w:r>
      <w:proofErr w:type="spellEnd"/>
      <w:r>
        <w:t xml:space="preserve"> Education, 1, 7-19.</w:t>
      </w:r>
    </w:p>
    <w:p w:rsidR="00047609" w:rsidRDefault="00433EEF" w:rsidP="006C0040">
      <w:pPr>
        <w:pStyle w:val="Corpsdetexte"/>
        <w:jc w:val="both"/>
      </w:pPr>
      <w:r>
        <w:t>Compiègne I. (2011). La société numérique en question(s). Paris : Éditions Sciences Humaines.</w:t>
      </w:r>
    </w:p>
    <w:p w:rsidR="00047609" w:rsidRDefault="00047609" w:rsidP="006C0040">
      <w:pPr>
        <w:pStyle w:val="Corpsdetexte"/>
        <w:keepNext/>
      </w:pPr>
      <w:r>
        <w:rPr>
          <w:rFonts w:ascii="Arial" w:hAnsi="Arial"/>
          <w:b/>
        </w:rPr>
        <w:t>Regard réflexif sur la question de recherche</w:t>
      </w:r>
    </w:p>
    <w:p w:rsidR="00047609" w:rsidRDefault="00CE00D3" w:rsidP="006C0040">
      <w:pPr>
        <w:pStyle w:val="Corpsdetexte"/>
        <w:jc w:val="both"/>
      </w:pPr>
      <w:r>
        <w:t>Comment, en étant t</w:t>
      </w:r>
      <w:r w:rsidR="00C41FE9">
        <w:t xml:space="preserve">rès exposés et au cœur </w:t>
      </w:r>
      <w:r w:rsidR="00C11820">
        <w:t>notre quotidien</w:t>
      </w:r>
      <w:r>
        <w:t xml:space="preserve"> d’enseignants-chercheurs</w:t>
      </w:r>
      <w:r w:rsidR="00C41FE9">
        <w:t xml:space="preserve">, les outils de communication </w:t>
      </w:r>
      <w:r>
        <w:t>ont-ils pu devenir</w:t>
      </w:r>
      <w:r w:rsidR="00C11820">
        <w:t xml:space="preserve"> transparents au point </w:t>
      </w:r>
      <w:r w:rsidR="005E4FEA">
        <w:t>de permettre à des collègues intéressés par ces objets de se faire éconduire</w:t>
      </w:r>
      <w:r w:rsidR="00CA67C1">
        <w:t xml:space="preserve"> un </w:t>
      </w:r>
      <w:r w:rsidR="00C11820">
        <w:t>« </w:t>
      </w:r>
      <w:r w:rsidR="00CA67C1" w:rsidRPr="00CA67C1">
        <w:t>je ne peux rien répondre car je n'utilise vraiment pas du tout, jamais, les TIC</w:t>
      </w:r>
      <w:r w:rsidR="00CA67C1">
        <w:t> »</w:t>
      </w:r>
      <w:r w:rsidR="00CA67C1" w:rsidRPr="00CA67C1">
        <w:t xml:space="preserve"> </w:t>
      </w:r>
      <w:r w:rsidR="00CA67C1">
        <w:t xml:space="preserve">transmis </w:t>
      </w:r>
      <w:r w:rsidR="005E4FEA">
        <w:t>par</w:t>
      </w:r>
      <w:r w:rsidR="00CA67C1">
        <w:t xml:space="preserve"> </w:t>
      </w:r>
      <w:r>
        <w:t>courrier</w:t>
      </w:r>
      <w:r w:rsidR="00CA67C1">
        <w:t xml:space="preserve"> électronique</w:t>
      </w:r>
      <w:r w:rsidR="00070081">
        <w:t xml:space="preserve"> au moment d‘interroger un pair</w:t>
      </w:r>
      <w:r w:rsidR="005E4FEA">
        <w:t> ?</w:t>
      </w:r>
      <w:r w:rsidR="00C323CE">
        <w:t xml:space="preserve"> </w:t>
      </w:r>
    </w:p>
    <w:p w:rsidR="006C0040" w:rsidRDefault="00047609" w:rsidP="006C0040">
      <w:pPr>
        <w:pStyle w:val="Corpsdetexte"/>
        <w:jc w:val="both"/>
        <w:rPr>
          <w:rFonts w:ascii="Arial" w:hAnsi="Arial"/>
          <w:color w:val="343434"/>
          <w:sz w:val="20"/>
        </w:rPr>
      </w:pPr>
      <w:r>
        <w:rPr>
          <w:rFonts w:ascii="Arial" w:hAnsi="Arial"/>
          <w:b/>
          <w:color w:val="343434"/>
        </w:rPr>
        <w:t xml:space="preserve">Champs thématiques </w:t>
      </w:r>
      <w:r>
        <w:rPr>
          <w:rFonts w:ascii="Arial" w:hAnsi="Arial"/>
          <w:color w:val="343434"/>
          <w:sz w:val="20"/>
        </w:rPr>
        <w:t>(à choisir dans un menu déroulant, possibilité de choix multiples)</w:t>
      </w:r>
    </w:p>
    <w:p w:rsidR="006C0040" w:rsidRPr="006C0040" w:rsidRDefault="006C0040" w:rsidP="006C0040">
      <w:pPr>
        <w:pStyle w:val="Corpsdetexte"/>
        <w:jc w:val="both"/>
        <w:rPr>
          <w:rFonts w:ascii="Arial" w:hAnsi="Arial"/>
          <w:color w:val="343434"/>
          <w:sz w:val="20"/>
        </w:rPr>
      </w:pPr>
      <w:r>
        <w:rPr>
          <w:rFonts w:ascii="Arial" w:hAnsi="Arial"/>
          <w:color w:val="343434"/>
          <w:sz w:val="20"/>
        </w:rPr>
        <w:t xml:space="preserve">TICE – Enseignement supérieur </w:t>
      </w:r>
    </w:p>
    <w:p w:rsidR="00047609" w:rsidRDefault="00047609" w:rsidP="006C0040">
      <w:pPr>
        <w:pStyle w:val="Corpsdetexte"/>
        <w:jc w:val="both"/>
        <w:rPr>
          <w:rFonts w:ascii="Verdana" w:hAnsi="Verdana"/>
          <w:sz w:val="20"/>
        </w:rPr>
      </w:pPr>
    </w:p>
    <w:p w:rsidR="00047609" w:rsidRDefault="00047609" w:rsidP="006C0040">
      <w:pPr>
        <w:pStyle w:val="Corpsdetexte"/>
        <w:jc w:val="both"/>
      </w:pPr>
    </w:p>
    <w:p w:rsidR="00047609" w:rsidRDefault="00047609" w:rsidP="006C0040">
      <w:pPr>
        <w:pStyle w:val="Corpsdetexte"/>
        <w:jc w:val="both"/>
        <w:rPr>
          <w:rFonts w:ascii="Verdana" w:hAnsi="Verdana"/>
          <w:sz w:val="20"/>
        </w:rPr>
      </w:pPr>
      <w:r>
        <w:rPr>
          <w:rFonts w:ascii="Verdana" w:hAnsi="Verdana"/>
          <w:sz w:val="20"/>
        </w:rPr>
        <w:t>**************************</w:t>
      </w:r>
    </w:p>
    <w:p w:rsidR="00047609" w:rsidRDefault="00047609" w:rsidP="006C0040">
      <w:pPr>
        <w:pStyle w:val="Corpsdetexte"/>
        <w:jc w:val="both"/>
        <w:rPr>
          <w:rFonts w:ascii="Verdana" w:hAnsi="Verdana"/>
          <w:sz w:val="20"/>
        </w:rPr>
      </w:pPr>
      <w:r>
        <w:rPr>
          <w:rFonts w:ascii="Verdana" w:hAnsi="Verdana"/>
          <w:sz w:val="20"/>
        </w:rPr>
        <w:lastRenderedPageBreak/>
        <w:t>Nom</w:t>
      </w:r>
    </w:p>
    <w:p w:rsidR="00047609" w:rsidRDefault="00BF32A2" w:rsidP="006C0040">
      <w:pPr>
        <w:pStyle w:val="Corpsdetexte"/>
        <w:jc w:val="both"/>
        <w:rPr>
          <w:rFonts w:ascii="Verdana" w:hAnsi="Verdana"/>
          <w:sz w:val="20"/>
        </w:rPr>
      </w:pPr>
      <w:r>
        <w:rPr>
          <w:rFonts w:ascii="Verdana" w:hAnsi="Verdana"/>
          <w:sz w:val="20"/>
        </w:rPr>
        <w:t>BALTAZAZRT</w:t>
      </w:r>
    </w:p>
    <w:p w:rsidR="00047609" w:rsidRDefault="00047609" w:rsidP="006C0040">
      <w:pPr>
        <w:pStyle w:val="Corpsdetexte"/>
        <w:rPr>
          <w:rFonts w:ascii="Verdana" w:hAnsi="Verdana"/>
          <w:sz w:val="20"/>
        </w:rPr>
      </w:pPr>
      <w:r>
        <w:t>Prénom</w:t>
      </w:r>
    </w:p>
    <w:p w:rsidR="00047609" w:rsidRDefault="00BF32A2" w:rsidP="006C0040">
      <w:pPr>
        <w:pStyle w:val="Corpsdetexte"/>
        <w:jc w:val="both"/>
        <w:rPr>
          <w:rFonts w:ascii="Verdana" w:hAnsi="Verdana"/>
          <w:sz w:val="20"/>
        </w:rPr>
      </w:pPr>
      <w:r>
        <w:rPr>
          <w:rFonts w:ascii="Verdana" w:hAnsi="Verdana"/>
          <w:sz w:val="20"/>
        </w:rPr>
        <w:t>Didier</w:t>
      </w:r>
    </w:p>
    <w:p w:rsidR="00047609" w:rsidRDefault="00047609" w:rsidP="006C0040">
      <w:pPr>
        <w:pStyle w:val="Corpsdetexte"/>
        <w:rPr>
          <w:rFonts w:ascii="Verdana" w:hAnsi="Verdana"/>
          <w:sz w:val="20"/>
        </w:rPr>
      </w:pPr>
      <w:r>
        <w:t xml:space="preserve">Autre(s) prénom(s), Initiales </w:t>
      </w:r>
    </w:p>
    <w:p w:rsidR="00047609" w:rsidRDefault="00047609" w:rsidP="006C0040">
      <w:pPr>
        <w:pStyle w:val="Corpsdetexte"/>
        <w:jc w:val="both"/>
        <w:rPr>
          <w:rFonts w:ascii="Verdana" w:hAnsi="Verdana"/>
          <w:sz w:val="20"/>
        </w:rPr>
      </w:pPr>
    </w:p>
    <w:p w:rsidR="00047609" w:rsidRDefault="00047609" w:rsidP="006C0040">
      <w:pPr>
        <w:pStyle w:val="Corpsdetexte"/>
        <w:rPr>
          <w:rFonts w:ascii="Verdana" w:hAnsi="Verdana"/>
          <w:sz w:val="20"/>
        </w:rPr>
      </w:pPr>
      <w:r>
        <w:t>Email</w:t>
      </w:r>
    </w:p>
    <w:p w:rsidR="00047609" w:rsidRDefault="00BF32A2" w:rsidP="006C0040">
      <w:pPr>
        <w:pStyle w:val="Corpsdetexte"/>
        <w:jc w:val="both"/>
        <w:rPr>
          <w:rFonts w:ascii="Verdana" w:hAnsi="Verdana"/>
          <w:sz w:val="20"/>
        </w:rPr>
      </w:pPr>
      <w:r>
        <w:rPr>
          <w:rFonts w:ascii="Verdana" w:hAnsi="Verdana"/>
          <w:sz w:val="20"/>
        </w:rPr>
        <w:t>Didier.baltazart@univ-reims.fr</w:t>
      </w:r>
    </w:p>
    <w:p w:rsidR="00047609" w:rsidRDefault="00047609" w:rsidP="006C0040">
      <w:pPr>
        <w:pStyle w:val="Corpsdetexte"/>
        <w:rPr>
          <w:rFonts w:ascii="Verdana" w:hAnsi="Verdana"/>
          <w:sz w:val="20"/>
        </w:rPr>
      </w:pPr>
      <w:r>
        <w:t xml:space="preserve">Equipe de recherche </w:t>
      </w:r>
    </w:p>
    <w:p w:rsidR="00047609" w:rsidRDefault="00540123" w:rsidP="006C0040">
      <w:pPr>
        <w:pStyle w:val="Corpsdetexte"/>
        <w:jc w:val="both"/>
        <w:rPr>
          <w:rFonts w:ascii="Verdana" w:hAnsi="Verdana"/>
          <w:sz w:val="20"/>
        </w:rPr>
      </w:pPr>
      <w:r>
        <w:rPr>
          <w:rFonts w:ascii="Verdana" w:hAnsi="Verdana"/>
          <w:sz w:val="20"/>
        </w:rPr>
        <w:t>CREM, EA 3476</w:t>
      </w:r>
    </w:p>
    <w:p w:rsidR="00047609" w:rsidRDefault="00047609" w:rsidP="006C0040">
      <w:pPr>
        <w:pStyle w:val="Corpsdetexte"/>
        <w:rPr>
          <w:rFonts w:ascii="Verdana" w:hAnsi="Verdana"/>
          <w:sz w:val="20"/>
        </w:rPr>
      </w:pPr>
      <w:r>
        <w:t xml:space="preserve">Url page personnelle </w:t>
      </w:r>
    </w:p>
    <w:p w:rsidR="00047609" w:rsidRDefault="00BF32A2" w:rsidP="006C0040">
      <w:pPr>
        <w:pStyle w:val="Corpsdetexte"/>
        <w:jc w:val="both"/>
      </w:pPr>
      <w:r w:rsidRPr="00BF32A2">
        <w:t>http://crem.univ-lorraine.fr/baltazart-didier</w:t>
      </w:r>
    </w:p>
    <w:sectPr w:rsidR="00047609">
      <w:headerReference w:type="default" r:id="rId7"/>
      <w:pgSz w:w="11906" w:h="16838"/>
      <w:pgMar w:top="1661"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B0" w:rsidRDefault="00F924B0">
      <w:r>
        <w:separator/>
      </w:r>
    </w:p>
  </w:endnote>
  <w:endnote w:type="continuationSeparator" w:id="0">
    <w:p w:rsidR="00F924B0" w:rsidRDefault="00F9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B0" w:rsidRDefault="00F924B0">
      <w:r>
        <w:separator/>
      </w:r>
    </w:p>
  </w:footnote>
  <w:footnote w:type="continuationSeparator" w:id="0">
    <w:p w:rsidR="00F924B0" w:rsidRDefault="00F9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09" w:rsidRDefault="00047609">
    <w:pPr>
      <w:jc w:val="right"/>
    </w:pPr>
    <w:r>
      <w:rPr>
        <w:color w:val="999999"/>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71"/>
    <w:rsid w:val="00015D71"/>
    <w:rsid w:val="0002274B"/>
    <w:rsid w:val="00047609"/>
    <w:rsid w:val="00070081"/>
    <w:rsid w:val="0011226A"/>
    <w:rsid w:val="00433EEF"/>
    <w:rsid w:val="00540123"/>
    <w:rsid w:val="00570C22"/>
    <w:rsid w:val="005E4FEA"/>
    <w:rsid w:val="00666E45"/>
    <w:rsid w:val="006C0040"/>
    <w:rsid w:val="009F7498"/>
    <w:rsid w:val="00AE75B1"/>
    <w:rsid w:val="00B83158"/>
    <w:rsid w:val="00BF32A2"/>
    <w:rsid w:val="00BF4871"/>
    <w:rsid w:val="00C11820"/>
    <w:rsid w:val="00C323CE"/>
    <w:rsid w:val="00C41FE9"/>
    <w:rsid w:val="00CA67C1"/>
    <w:rsid w:val="00CE00D3"/>
    <w:rsid w:val="00D373C4"/>
    <w:rsid w:val="00EE42B0"/>
    <w:rsid w:val="00F924B0"/>
    <w:rsid w:val="00FC1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D9EEDDA-C7B3-401D-80DF-ADC8670B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SimSun" w:hAnsi="Calibri" w:cs="Lucida Sans"/>
      <w:kern w:val="1"/>
      <w:sz w:val="22"/>
      <w:szCs w:val="24"/>
      <w:lang w:eastAsia="hi-IN" w:bidi="hi-IN"/>
    </w:rPr>
  </w:style>
  <w:style w:type="paragraph" w:styleId="Titre1">
    <w:name w:val="heading 1"/>
    <w:next w:val="Corpsdetexte"/>
    <w:qFormat/>
    <w:pPr>
      <w:widowControl w:val="0"/>
      <w:numPr>
        <w:numId w:val="1"/>
      </w:numPr>
      <w:suppressAutoHyphens/>
      <w:spacing w:before="283" w:after="227"/>
      <w:ind w:left="317" w:right="170" w:hanging="431"/>
      <w:jc w:val="center"/>
      <w:outlineLvl w:val="0"/>
    </w:pPr>
    <w:rPr>
      <w:rFonts w:ascii="Arial" w:eastAsia="SimSun" w:hAnsi="Arial" w:cs="Lucida Sans"/>
      <w:i/>
      <w:smallCaps/>
      <w:kern w:val="1"/>
      <w:sz w:val="26"/>
      <w:szCs w:val="28"/>
      <w:lang w:eastAsia="hi-IN" w:bidi="hi-IN"/>
    </w:rPr>
  </w:style>
  <w:style w:type="paragraph" w:styleId="Titre3">
    <w:name w:val="heading 3"/>
    <w:basedOn w:val="Titre10"/>
    <w:next w:val="Corpsdetexte"/>
    <w:qFormat/>
    <w:pPr>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ienhypertexte">
    <w:name w:val="Hyperlink"/>
    <w:rPr>
      <w:color w:val="000080"/>
      <w:u w:val="single"/>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ev">
    <w:name w:val="Strong"/>
    <w:qFormat/>
    <w:rPr>
      <w:b/>
      <w:bCs/>
    </w:rPr>
  </w:style>
  <w:style w:type="paragraph" w:customStyle="1" w:styleId="Titre10">
    <w:name w:val="Titre1"/>
    <w:basedOn w:val="Normal"/>
    <w:next w:val="Corpsdetexte"/>
    <w:pPr>
      <w:keepNext/>
      <w:shd w:val="clear" w:color="auto" w:fill="DDDDDD"/>
      <w:spacing w:before="238" w:after="856"/>
    </w:pPr>
    <w:rPr>
      <w:rFonts w:ascii="Arial" w:hAnsi="Arial"/>
      <w:smallCaps/>
      <w:sz w:val="32"/>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Chagnoux</dc:creator>
  <cp:keywords/>
  <cp:lastModifiedBy>Lavielle Gutnik</cp:lastModifiedBy>
  <cp:revision>2</cp:revision>
  <cp:lastPrinted>1899-12-31T23:00:00Z</cp:lastPrinted>
  <dcterms:created xsi:type="dcterms:W3CDTF">2016-01-10T16:14:00Z</dcterms:created>
  <dcterms:modified xsi:type="dcterms:W3CDTF">2016-01-10T16:14:00Z</dcterms:modified>
</cp:coreProperties>
</file>