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D" w:rsidRPr="00B918C9" w:rsidRDefault="00B91FFD" w:rsidP="00B91FFD">
      <w:pPr>
        <w:jc w:val="center"/>
        <w:rPr>
          <w:b/>
          <w:i/>
        </w:rPr>
      </w:pPr>
      <w:r w:rsidRPr="00B918C9">
        <w:rPr>
          <w:b/>
          <w:i/>
        </w:rPr>
        <w:t xml:space="preserve">Rites </w:t>
      </w:r>
      <w:r>
        <w:rPr>
          <w:b/>
          <w:i/>
          <w:color w:val="FF0000"/>
        </w:rPr>
        <w:t>et</w:t>
      </w:r>
      <w:r w:rsidRPr="00B918C9">
        <w:rPr>
          <w:b/>
          <w:i/>
        </w:rPr>
        <w:t xml:space="preserve"> rythmes d’interaction ?</w:t>
      </w:r>
    </w:p>
    <w:p w:rsidR="00B91FFD" w:rsidRPr="000E1A73" w:rsidRDefault="00B91FFD" w:rsidP="00B91FFD">
      <w:pPr>
        <w:jc w:val="both"/>
        <w:rPr>
          <w:color w:val="FF0000"/>
        </w:rPr>
      </w:pPr>
      <w:r w:rsidRPr="000E1A73">
        <w:t xml:space="preserve">Cette recherche porte sur </w:t>
      </w:r>
      <w:r w:rsidR="00C756B1">
        <w:rPr>
          <w:color w:val="FF0000"/>
        </w:rPr>
        <w:t>de</w:t>
      </w:r>
      <w:r w:rsidR="00770D3F">
        <w:rPr>
          <w:color w:val="FF0000"/>
        </w:rPr>
        <w:t>s</w:t>
      </w:r>
      <w:r w:rsidR="00C756B1">
        <w:rPr>
          <w:color w:val="FF0000"/>
        </w:rPr>
        <w:t xml:space="preserve"> interactions </w:t>
      </w:r>
      <w:r w:rsidR="00770D3F">
        <w:rPr>
          <w:color w:val="FF0000"/>
        </w:rPr>
        <w:t xml:space="preserve">pharmaciens/patients </w:t>
      </w:r>
      <w:r w:rsidR="00C756B1">
        <w:rPr>
          <w:color w:val="FF0000"/>
        </w:rPr>
        <w:t>en officine</w:t>
      </w:r>
      <w:r w:rsidRPr="000E1A73">
        <w:t xml:space="preserve">. Elle illustre la pratique du </w:t>
      </w:r>
      <w:r>
        <w:t xml:space="preserve">pharmacien qui </w:t>
      </w:r>
      <w:r w:rsidR="001E5373">
        <w:t xml:space="preserve">conseille, et </w:t>
      </w:r>
      <w:r w:rsidR="00821FBA">
        <w:t xml:space="preserve">procède </w:t>
      </w:r>
      <w:r w:rsidRPr="000E1A73">
        <w:t>à une grande activité discursive en expliquant les traitements médicamenteux, et en tenant compte d’éventuelles pathologies multiples. Ce faisant, l</w:t>
      </w:r>
      <w:r w:rsidR="00770D3F">
        <w:t>es interactions obéissent</w:t>
      </w:r>
      <w:r>
        <w:t xml:space="preserve"> à certains</w:t>
      </w:r>
      <w:r w:rsidRPr="00C27B8B">
        <w:t xml:space="preserve"> </w:t>
      </w:r>
      <w:r>
        <w:t xml:space="preserve">rites. </w:t>
      </w:r>
      <w:r w:rsidR="00770D3F">
        <w:rPr>
          <w:color w:val="FF0000"/>
        </w:rPr>
        <w:t>Cependant, l’</w:t>
      </w:r>
      <w:r w:rsidR="00CF5FDB">
        <w:rPr>
          <w:color w:val="FF0000"/>
        </w:rPr>
        <w:t>analyse</w:t>
      </w:r>
      <w:r>
        <w:rPr>
          <w:color w:val="FF0000"/>
        </w:rPr>
        <w:t xml:space="preserve"> montre des formes rythmiques </w:t>
      </w:r>
      <w:r w:rsidR="008F1757">
        <w:rPr>
          <w:color w:val="FF0000"/>
        </w:rPr>
        <w:t>qui</w:t>
      </w:r>
      <w:r>
        <w:rPr>
          <w:color w:val="FF0000"/>
        </w:rPr>
        <w:t xml:space="preserve"> sont rendu</w:t>
      </w:r>
      <w:r w:rsidR="008F1757">
        <w:rPr>
          <w:color w:val="FF0000"/>
        </w:rPr>
        <w:t>e</w:t>
      </w:r>
      <w:r>
        <w:rPr>
          <w:color w:val="FF0000"/>
        </w:rPr>
        <w:t>s par des</w:t>
      </w:r>
      <w:r w:rsidRPr="000E1A73">
        <w:rPr>
          <w:color w:val="FF0000"/>
        </w:rPr>
        <w:t xml:space="preserve"> mots énoncés et </w:t>
      </w:r>
      <w:r>
        <w:rPr>
          <w:color w:val="FF0000"/>
        </w:rPr>
        <w:t xml:space="preserve">se laissent percevoir par le langage du </w:t>
      </w:r>
      <w:r w:rsidRPr="000E1A73">
        <w:rPr>
          <w:color w:val="FF0000"/>
        </w:rPr>
        <w:t xml:space="preserve">corps. </w:t>
      </w:r>
    </w:p>
    <w:p w:rsidR="00B91FFD" w:rsidRPr="00770D3F" w:rsidRDefault="00B91FFD" w:rsidP="00B91FFD">
      <w:pPr>
        <w:jc w:val="both"/>
        <w:rPr>
          <w:color w:val="FF0000"/>
        </w:rPr>
      </w:pPr>
      <w:r w:rsidRPr="005110A3">
        <w:rPr>
          <w:color w:val="FF0000"/>
        </w:rPr>
        <w:t xml:space="preserve">Si le praticien se sert à la fois de rites et de rythmes pour appuyer sa proposition, </w:t>
      </w:r>
      <w:r>
        <w:t xml:space="preserve">comment  </w:t>
      </w:r>
      <w:r w:rsidRPr="00DF051C">
        <w:rPr>
          <w:color w:val="FF0000"/>
        </w:rPr>
        <w:t>apprendre</w:t>
      </w:r>
      <w:r>
        <w:t xml:space="preserve"> </w:t>
      </w:r>
      <w:r>
        <w:rPr>
          <w:color w:val="FF0000"/>
        </w:rPr>
        <w:t xml:space="preserve">les rythmes </w:t>
      </w:r>
      <w:r w:rsidRPr="00325F1C">
        <w:t xml:space="preserve">? Quelles formes prennent-ils ? </w:t>
      </w:r>
      <w:r w:rsidR="00770D3F">
        <w:rPr>
          <w:color w:val="FF0000"/>
        </w:rPr>
        <w:t>Comment les inclue-t-il dans sa pratique ?</w:t>
      </w:r>
    </w:p>
    <w:p w:rsidR="00B91FFD" w:rsidRDefault="00B91FFD" w:rsidP="00B91FFD">
      <w:pPr>
        <w:jc w:val="both"/>
      </w:pPr>
      <w:r>
        <w:t>L’hypothèse principale repose sur le fait que, pour élaborer une pratique adaptée, le pharmacien  respecte les rites d’usage tout en s’</w:t>
      </w:r>
      <w:r w:rsidRPr="005110A3">
        <w:rPr>
          <w:b/>
        </w:rPr>
        <w:t>accommodant</w:t>
      </w:r>
      <w:r>
        <w:t xml:space="preserve"> au rythme du client. </w:t>
      </w:r>
      <w:r>
        <w:rPr>
          <w:color w:val="FF0000"/>
        </w:rPr>
        <w:t xml:space="preserve">Il s’agit d’un processus d’apprentissage en situation </w:t>
      </w:r>
      <w:r w:rsidR="008F1757">
        <w:rPr>
          <w:color w:val="FF0000"/>
        </w:rPr>
        <w:t xml:space="preserve">lui </w:t>
      </w:r>
      <w:r>
        <w:rPr>
          <w:color w:val="FF0000"/>
        </w:rPr>
        <w:t xml:space="preserve">permettant </w:t>
      </w:r>
      <w:r>
        <w:t xml:space="preserve">de répondre aux demandes qui sont très diversifiées et pas toujours très claires. </w:t>
      </w:r>
      <w:r w:rsidR="00CF5FDB">
        <w:rPr>
          <w:color w:val="FF0000"/>
        </w:rPr>
        <w:t xml:space="preserve">Le rythme </w:t>
      </w:r>
      <w:r w:rsidR="00770D3F">
        <w:rPr>
          <w:color w:val="FF0000"/>
        </w:rPr>
        <w:t xml:space="preserve">permet </w:t>
      </w:r>
      <w:r w:rsidR="00934F92">
        <w:rPr>
          <w:color w:val="FF0000"/>
        </w:rPr>
        <w:t xml:space="preserve">ainsi </w:t>
      </w:r>
      <w:r w:rsidR="00770D3F">
        <w:rPr>
          <w:color w:val="FF0000"/>
        </w:rPr>
        <w:t>de gagner en</w:t>
      </w:r>
      <w:r w:rsidR="00CF5FDB">
        <w:rPr>
          <w:color w:val="FF0000"/>
        </w:rPr>
        <w:t xml:space="preserve"> efficacité.</w:t>
      </w:r>
    </w:p>
    <w:p w:rsidR="00067C17" w:rsidRPr="00251E7C" w:rsidRDefault="00067C17" w:rsidP="00067C17">
      <w:pPr>
        <w:jc w:val="both"/>
        <w:rPr>
          <w:i/>
          <w:color w:val="1F497D" w:themeColor="text2"/>
        </w:rPr>
      </w:pPr>
      <w:r w:rsidRPr="00251E7C">
        <w:rPr>
          <w:i/>
          <w:color w:val="1F497D" w:themeColor="text2"/>
        </w:rPr>
        <w:t>Règles rituelles de l’échange</w:t>
      </w:r>
    </w:p>
    <w:p w:rsidR="00C756B1" w:rsidRDefault="00067C17" w:rsidP="00067C17">
      <w:pPr>
        <w:jc w:val="both"/>
      </w:pPr>
      <w:r>
        <w:t>En analysant les comportements humains dans la vie quotidienne, Goffman (1974) situe les interactions d’individus en présence. L’auteur décrit les éléments rituels mettant en avant un individu qui adopte une ligne de conduite</w:t>
      </w:r>
      <w:r w:rsidR="00C756B1">
        <w:t>, celle notamment de respecter le code de manière à garder la valeur positive de la face</w:t>
      </w:r>
      <w:r>
        <w:t>. Chaque individu s’appuie sur des règles de politesse et de savoir-vivre procédant ainsi à des rencontres auto contrôlées</w:t>
      </w:r>
      <w:r w:rsidR="00C756B1">
        <w:t>.</w:t>
      </w:r>
    </w:p>
    <w:p w:rsidR="00067C17" w:rsidRPr="00251E7C" w:rsidRDefault="00067C17" w:rsidP="00067C17">
      <w:pPr>
        <w:jc w:val="both"/>
        <w:rPr>
          <w:i/>
          <w:color w:val="1F497D" w:themeColor="text2"/>
        </w:rPr>
      </w:pPr>
      <w:r w:rsidRPr="00251E7C">
        <w:rPr>
          <w:i/>
          <w:color w:val="1F497D" w:themeColor="text2"/>
        </w:rPr>
        <w:t>Le langage de l’échange</w:t>
      </w:r>
    </w:p>
    <w:p w:rsidR="00E817F8" w:rsidRDefault="00067C17" w:rsidP="00067C17">
      <w:pPr>
        <w:jc w:val="both"/>
      </w:pPr>
      <w:r>
        <w:t xml:space="preserve">Le processus d’énonciation est étudié à partir de la théorie des actes de langage d’Austin </w:t>
      </w:r>
      <w:r w:rsidRPr="00E77A81">
        <w:rPr>
          <w:color w:val="FF0000"/>
        </w:rPr>
        <w:t xml:space="preserve">(1970), </w:t>
      </w:r>
      <w:r>
        <w:t xml:space="preserve">de Searle </w:t>
      </w:r>
      <w:r w:rsidRPr="00E77A81">
        <w:rPr>
          <w:color w:val="FF0000"/>
        </w:rPr>
        <w:t xml:space="preserve">(1969), </w:t>
      </w:r>
      <w:r>
        <w:t xml:space="preserve">de </w:t>
      </w:r>
      <w:proofErr w:type="spellStart"/>
      <w:r>
        <w:t>Grice</w:t>
      </w:r>
      <w:proofErr w:type="spellEnd"/>
      <w:r>
        <w:t xml:space="preserve"> </w:t>
      </w:r>
      <w:r w:rsidRPr="00E77A81">
        <w:rPr>
          <w:color w:val="FF0000"/>
        </w:rPr>
        <w:t xml:space="preserve">(1975) </w:t>
      </w:r>
      <w:r>
        <w:t xml:space="preserve">et de </w:t>
      </w:r>
      <w:proofErr w:type="spellStart"/>
      <w:r>
        <w:t>Sperber</w:t>
      </w:r>
      <w:proofErr w:type="spellEnd"/>
      <w:r>
        <w:t xml:space="preserve"> et Wilson </w:t>
      </w:r>
      <w:r w:rsidRPr="00E77A81">
        <w:rPr>
          <w:color w:val="FF0000"/>
        </w:rPr>
        <w:t>(198</w:t>
      </w:r>
      <w:r w:rsidR="00C756B1">
        <w:rPr>
          <w:color w:val="FF0000"/>
        </w:rPr>
        <w:t>9)</w:t>
      </w:r>
      <w:r>
        <w:t xml:space="preserve">. En association avec l’énoncé, on peut entrevoir un mode rythmique produit par les expressions du visage, le regard, le sourire qui intensifient le sens que l’énoncé va émettre. </w:t>
      </w:r>
    </w:p>
    <w:p w:rsidR="00067C17" w:rsidRDefault="00067C17" w:rsidP="00067C17">
      <w:pPr>
        <w:jc w:val="both"/>
        <w:rPr>
          <w:color w:val="FF0000"/>
        </w:rPr>
      </w:pPr>
      <w:proofErr w:type="spellStart"/>
      <w:r>
        <w:t>Cosnier</w:t>
      </w:r>
      <w:proofErr w:type="spellEnd"/>
      <w:r>
        <w:t xml:space="preserve"> </w:t>
      </w:r>
      <w:r w:rsidRPr="002434A3">
        <w:rPr>
          <w:color w:val="FF0000"/>
        </w:rPr>
        <w:t xml:space="preserve">(1984) </w:t>
      </w:r>
      <w:r>
        <w:t xml:space="preserve">rapporte que langage apparaît comme un procédé hétérogène multicanal ou plurimodal, il repose sur des signaux gestuels montrant un corps qui participe à l’énonciation. </w:t>
      </w:r>
      <w:r>
        <w:rPr>
          <w:color w:val="FF0000"/>
        </w:rPr>
        <w:t>Ces gestes</w:t>
      </w:r>
      <w:r w:rsidR="00CF5FDB">
        <w:rPr>
          <w:color w:val="FF0000"/>
        </w:rPr>
        <w:t xml:space="preserve"> (</w:t>
      </w:r>
      <w:proofErr w:type="spellStart"/>
      <w:r w:rsidR="00CF5FDB">
        <w:rPr>
          <w:color w:val="FF0000"/>
        </w:rPr>
        <w:t>Alin</w:t>
      </w:r>
      <w:proofErr w:type="spellEnd"/>
      <w:r w:rsidR="00CF5FDB">
        <w:rPr>
          <w:color w:val="FF0000"/>
        </w:rPr>
        <w:t xml:space="preserve">, 2011) </w:t>
      </w:r>
      <w:r>
        <w:rPr>
          <w:color w:val="FF0000"/>
        </w:rPr>
        <w:t xml:space="preserve"> autant langagiers que de mise en scène permettent de saisir les gestes d’</w:t>
      </w:r>
      <w:r w:rsidR="00C908B5">
        <w:rPr>
          <w:color w:val="FF0000"/>
        </w:rPr>
        <w:t xml:space="preserve">ajustement </w:t>
      </w:r>
      <w:r w:rsidR="00CF5FDB">
        <w:rPr>
          <w:color w:val="FF0000"/>
        </w:rPr>
        <w:t>(</w:t>
      </w:r>
      <w:proofErr w:type="spellStart"/>
      <w:r w:rsidR="00CF5FDB">
        <w:rPr>
          <w:color w:val="FF0000"/>
        </w:rPr>
        <w:t>Jorro</w:t>
      </w:r>
      <w:proofErr w:type="spellEnd"/>
      <w:r w:rsidR="00CF5FDB">
        <w:rPr>
          <w:color w:val="FF0000"/>
        </w:rPr>
        <w:t xml:space="preserve">, 2010, 2016) </w:t>
      </w:r>
      <w:r w:rsidR="00C908B5">
        <w:rPr>
          <w:color w:val="FF0000"/>
        </w:rPr>
        <w:t>que le professionnel</w:t>
      </w:r>
      <w:r>
        <w:rPr>
          <w:color w:val="FF0000"/>
        </w:rPr>
        <w:t xml:space="preserve"> met en œuvre </w:t>
      </w:r>
      <w:r w:rsidR="00843C74">
        <w:rPr>
          <w:color w:val="FF0000"/>
        </w:rPr>
        <w:t>pour saisir et répondre à la demande du client</w:t>
      </w:r>
      <w:r w:rsidR="00CF5FDB">
        <w:rPr>
          <w:color w:val="FF0000"/>
        </w:rPr>
        <w:t>.</w:t>
      </w:r>
    </w:p>
    <w:p w:rsidR="00067C17" w:rsidRPr="00251E7C" w:rsidRDefault="00067C17" w:rsidP="00067C17">
      <w:pPr>
        <w:jc w:val="both"/>
        <w:rPr>
          <w:i/>
          <w:color w:val="1F497D" w:themeColor="text2"/>
        </w:rPr>
      </w:pPr>
      <w:r w:rsidRPr="00251E7C">
        <w:rPr>
          <w:i/>
          <w:color w:val="1F497D" w:themeColor="text2"/>
        </w:rPr>
        <w:t xml:space="preserve">Méthodologie </w:t>
      </w:r>
    </w:p>
    <w:p w:rsidR="00CF5FDB" w:rsidRDefault="00067C17" w:rsidP="00CF5FDB">
      <w:pPr>
        <w:jc w:val="both"/>
        <w:rPr>
          <w:color w:val="FF0000"/>
        </w:rPr>
      </w:pPr>
      <w:r>
        <w:t>Deux interactions</w:t>
      </w:r>
      <w:r w:rsidR="00C756B1">
        <w:t>, une demande implicite et une explicite,</w:t>
      </w:r>
      <w:r>
        <w:t xml:space="preserve"> sont présentées</w:t>
      </w:r>
      <w:r w:rsidR="00C756B1">
        <w:t>.</w:t>
      </w:r>
      <w:r>
        <w:t xml:space="preserve"> L’analyse </w:t>
      </w:r>
      <w:r>
        <w:rPr>
          <w:color w:val="FF0000"/>
        </w:rPr>
        <w:t xml:space="preserve">sémiotique </w:t>
      </w:r>
      <w:r>
        <w:t>détaille les rites et les rythmes que l’interaction impose aux interlocuteurs</w:t>
      </w:r>
      <w:r w:rsidRPr="00F80F59">
        <w:rPr>
          <w:color w:val="FF0000"/>
        </w:rPr>
        <w:t>.</w:t>
      </w:r>
      <w:r>
        <w:rPr>
          <w:color w:val="FF0000"/>
        </w:rPr>
        <w:t xml:space="preserve"> </w:t>
      </w:r>
      <w:r w:rsidR="004715FD">
        <w:rPr>
          <w:color w:val="FF0000"/>
        </w:rPr>
        <w:t xml:space="preserve">En commentant </w:t>
      </w:r>
      <w:r w:rsidR="003F3E0A">
        <w:rPr>
          <w:color w:val="FF0000"/>
        </w:rPr>
        <w:t>leur</w:t>
      </w:r>
      <w:r w:rsidR="004715FD">
        <w:rPr>
          <w:color w:val="FF0000"/>
        </w:rPr>
        <w:t xml:space="preserve"> </w:t>
      </w:r>
      <w:r w:rsidR="003F3E0A">
        <w:rPr>
          <w:color w:val="FF0000"/>
        </w:rPr>
        <w:t>agir</w:t>
      </w:r>
      <w:r w:rsidR="004715FD">
        <w:rPr>
          <w:color w:val="FF0000"/>
        </w:rPr>
        <w:t>, les professionnels</w:t>
      </w:r>
      <w:r>
        <w:rPr>
          <w:color w:val="FF0000"/>
        </w:rPr>
        <w:t xml:space="preserve"> </w:t>
      </w:r>
      <w:r w:rsidR="004715FD">
        <w:rPr>
          <w:color w:val="FF0000"/>
        </w:rPr>
        <w:t>décrivent</w:t>
      </w:r>
      <w:r>
        <w:rPr>
          <w:color w:val="FF0000"/>
        </w:rPr>
        <w:t xml:space="preserve"> le respect des</w:t>
      </w:r>
      <w:r w:rsidRPr="00F80F59">
        <w:rPr>
          <w:color w:val="FF0000"/>
        </w:rPr>
        <w:t xml:space="preserve"> </w:t>
      </w:r>
      <w:r w:rsidR="00CF5FDB">
        <w:rPr>
          <w:color w:val="FF0000"/>
        </w:rPr>
        <w:t xml:space="preserve">rites </w:t>
      </w:r>
      <w:r w:rsidR="00CF5FDB" w:rsidRPr="001E5373">
        <w:rPr>
          <w:i/>
          <w:color w:val="FF0000"/>
        </w:rPr>
        <w:t>et</w:t>
      </w:r>
      <w:r w:rsidR="00CF5FDB">
        <w:rPr>
          <w:color w:val="FF0000"/>
        </w:rPr>
        <w:t xml:space="preserve"> des </w:t>
      </w:r>
      <w:r w:rsidRPr="00F80F59">
        <w:rPr>
          <w:color w:val="FF0000"/>
        </w:rPr>
        <w:t xml:space="preserve">rythmes </w:t>
      </w:r>
      <w:r>
        <w:rPr>
          <w:color w:val="FF0000"/>
        </w:rPr>
        <w:t>comme</w:t>
      </w:r>
      <w:r w:rsidRPr="00F80F59">
        <w:rPr>
          <w:color w:val="FF0000"/>
        </w:rPr>
        <w:t xml:space="preserve"> </w:t>
      </w:r>
      <w:r w:rsidR="00934F92">
        <w:rPr>
          <w:color w:val="FF0000"/>
        </w:rPr>
        <w:t xml:space="preserve">deux conditions </w:t>
      </w:r>
      <w:r w:rsidR="00C908B5" w:rsidRPr="00F80F59">
        <w:rPr>
          <w:color w:val="FF0000"/>
        </w:rPr>
        <w:t>nécessaire</w:t>
      </w:r>
      <w:r w:rsidR="00934F92">
        <w:rPr>
          <w:color w:val="FF0000"/>
        </w:rPr>
        <w:t>s</w:t>
      </w:r>
      <w:r w:rsidRPr="00F80F59">
        <w:rPr>
          <w:color w:val="FF0000"/>
        </w:rPr>
        <w:t xml:space="preserve"> à la pratique</w:t>
      </w:r>
      <w:r w:rsidR="00C756B1">
        <w:rPr>
          <w:color w:val="FF0000"/>
        </w:rPr>
        <w:t>.</w:t>
      </w:r>
      <w:r w:rsidRPr="00F80F59">
        <w:rPr>
          <w:color w:val="FF0000"/>
        </w:rPr>
        <w:t xml:space="preserve"> </w:t>
      </w:r>
    </w:p>
    <w:p w:rsidR="00F15F9D" w:rsidRDefault="00067C17" w:rsidP="00C756B1">
      <w:pPr>
        <w:jc w:val="both"/>
        <w:rPr>
          <w:color w:val="FF0000"/>
        </w:rPr>
      </w:pPr>
      <w:r>
        <w:rPr>
          <w:color w:val="FF0000"/>
        </w:rPr>
        <w:t xml:space="preserve">Etudier les rythmes dans les interactions offre une voie complémentaire </w:t>
      </w:r>
      <w:r w:rsidR="00255A8F">
        <w:rPr>
          <w:color w:val="FF0000"/>
        </w:rPr>
        <w:t>de professionnalisation</w:t>
      </w:r>
      <w:r w:rsidR="00E817F8">
        <w:rPr>
          <w:color w:val="FF0000"/>
        </w:rPr>
        <w:t xml:space="preserve">. Cela apporte une </w:t>
      </w:r>
      <w:r w:rsidR="00255A8F">
        <w:rPr>
          <w:color w:val="FF0000"/>
        </w:rPr>
        <w:t xml:space="preserve">aide </w:t>
      </w:r>
      <w:r w:rsidR="00E817F8">
        <w:rPr>
          <w:color w:val="FF0000"/>
        </w:rPr>
        <w:t>au</w:t>
      </w:r>
      <w:r w:rsidR="00255A8F">
        <w:rPr>
          <w:color w:val="FF0000"/>
        </w:rPr>
        <w:t xml:space="preserve"> patient</w:t>
      </w:r>
      <w:r>
        <w:rPr>
          <w:color w:val="FF0000"/>
        </w:rPr>
        <w:t xml:space="preserve"> dans </w:t>
      </w:r>
      <w:r w:rsidR="00E817F8">
        <w:rPr>
          <w:color w:val="FF0000"/>
        </w:rPr>
        <w:t>ses apprentissages à propos de l</w:t>
      </w:r>
      <w:r>
        <w:rPr>
          <w:color w:val="FF0000"/>
        </w:rPr>
        <w:t xml:space="preserve">a maladie. La pharmacie fait ainsi </w:t>
      </w:r>
      <w:bookmarkStart w:id="0" w:name="_GoBack"/>
      <w:bookmarkEnd w:id="0"/>
      <w:r>
        <w:rPr>
          <w:color w:val="FF0000"/>
        </w:rPr>
        <w:t xml:space="preserve">office </w:t>
      </w:r>
      <w:r w:rsidR="008F1757">
        <w:rPr>
          <w:color w:val="FF0000"/>
        </w:rPr>
        <w:t>d’espace</w:t>
      </w:r>
      <w:r>
        <w:rPr>
          <w:color w:val="FF0000"/>
        </w:rPr>
        <w:t xml:space="preserve"> d’apprentissage. </w:t>
      </w:r>
    </w:p>
    <w:p w:rsidR="001E5373" w:rsidRDefault="001E5373" w:rsidP="001E5373">
      <w:pPr>
        <w:jc w:val="both"/>
      </w:pPr>
      <w:r>
        <w:t>Mots clefs : interaction, rite, rythme, énoncé, geste</w:t>
      </w:r>
    </w:p>
    <w:p w:rsidR="001D2CAD" w:rsidRDefault="001D2CAD" w:rsidP="001D2CAD">
      <w:r>
        <w:lastRenderedPageBreak/>
        <w:t>Bibliographie</w:t>
      </w:r>
    </w:p>
    <w:p w:rsidR="001D2CAD" w:rsidRPr="00757C35" w:rsidRDefault="001D2CAD" w:rsidP="001D2CAD">
      <w:proofErr w:type="spellStart"/>
      <w:r>
        <w:t>Alin</w:t>
      </w:r>
      <w:proofErr w:type="spellEnd"/>
      <w:r>
        <w:rPr>
          <w:color w:val="FF0000"/>
        </w:rPr>
        <w:t>,</w:t>
      </w:r>
      <w:r>
        <w:t xml:space="preserve"> C. (2011) </w:t>
      </w:r>
      <w:r w:rsidRPr="00AE16C4">
        <w:rPr>
          <w:i/>
        </w:rPr>
        <w:t>La geste formation</w:t>
      </w:r>
      <w:r>
        <w:rPr>
          <w:i/>
        </w:rPr>
        <w:t xml:space="preserve">. Gestes professionnels et analyse des pratiques. </w:t>
      </w:r>
      <w:r>
        <w:t xml:space="preserve">Paris : </w:t>
      </w:r>
      <w:proofErr w:type="spellStart"/>
      <w:r>
        <w:t>L’Harmattan</w:t>
      </w:r>
      <w:proofErr w:type="spellEnd"/>
    </w:p>
    <w:p w:rsidR="001D2CAD" w:rsidRPr="000A1897" w:rsidRDefault="001D2CAD" w:rsidP="001D2CAD">
      <w:pPr>
        <w:jc w:val="both"/>
      </w:pPr>
      <w:proofErr w:type="spellStart"/>
      <w:r w:rsidRPr="000A1897">
        <w:t>Burgoon</w:t>
      </w:r>
      <w:proofErr w:type="spellEnd"/>
      <w:r>
        <w:rPr>
          <w:color w:val="FF0000"/>
        </w:rPr>
        <w:t>,</w:t>
      </w:r>
      <w:r w:rsidRPr="000A1897">
        <w:t xml:space="preserve"> J., Guerrero</w:t>
      </w:r>
      <w:r>
        <w:rPr>
          <w:color w:val="FF0000"/>
        </w:rPr>
        <w:t>,</w:t>
      </w:r>
      <w:r>
        <w:t xml:space="preserve"> L., Floyd</w:t>
      </w:r>
      <w:r w:rsidRPr="009377B5">
        <w:rPr>
          <w:color w:val="FF0000"/>
        </w:rPr>
        <w:t>,</w:t>
      </w:r>
      <w:r>
        <w:t xml:space="preserve"> </w:t>
      </w:r>
      <w:r w:rsidRPr="000A1897">
        <w:t xml:space="preserve">K. (2009) </w:t>
      </w:r>
      <w:proofErr w:type="spellStart"/>
      <w:r w:rsidRPr="000A1897">
        <w:rPr>
          <w:i/>
        </w:rPr>
        <w:t>Nonverbal</w:t>
      </w:r>
      <w:proofErr w:type="spellEnd"/>
      <w:r w:rsidRPr="000A1897">
        <w:rPr>
          <w:i/>
        </w:rPr>
        <w:t xml:space="preserve"> communication</w:t>
      </w:r>
      <w:r w:rsidRPr="000A1897">
        <w:t>.</w:t>
      </w:r>
      <w:r>
        <w:t xml:space="preserve"> Boston :</w:t>
      </w:r>
      <w:r w:rsidRPr="000A1897">
        <w:t xml:space="preserve"> </w:t>
      </w:r>
      <w:proofErr w:type="spellStart"/>
      <w:r w:rsidRPr="000A1897">
        <w:t>Ally</w:t>
      </w:r>
      <w:proofErr w:type="spellEnd"/>
      <w:r w:rsidRPr="000A1897">
        <w:t xml:space="preserve"> &amp; Bacon. </w:t>
      </w:r>
    </w:p>
    <w:p w:rsidR="001D2CAD" w:rsidRDefault="001D2CAD" w:rsidP="001D2CAD">
      <w:proofErr w:type="spellStart"/>
      <w:r w:rsidRPr="00945B86">
        <w:t>Filliettaz</w:t>
      </w:r>
      <w:proofErr w:type="spellEnd"/>
      <w:r>
        <w:rPr>
          <w:color w:val="FF0000"/>
        </w:rPr>
        <w:t>,</w:t>
      </w:r>
      <w:r w:rsidRPr="00945B86">
        <w:t xml:space="preserve"> L.</w:t>
      </w:r>
      <w:r>
        <w:rPr>
          <w:color w:val="FF0000"/>
        </w:rPr>
        <w:t>,</w:t>
      </w:r>
      <w:r w:rsidRPr="00945B86">
        <w:t xml:space="preserve"> </w:t>
      </w:r>
      <w:proofErr w:type="spellStart"/>
      <w:r w:rsidRPr="00945B86">
        <w:t>Bronckart</w:t>
      </w:r>
      <w:proofErr w:type="spellEnd"/>
      <w:r>
        <w:rPr>
          <w:color w:val="FF0000"/>
        </w:rPr>
        <w:t>,</w:t>
      </w:r>
      <w:r w:rsidRPr="00945B86">
        <w:t xml:space="preserve"> J.P. (2005) </w:t>
      </w:r>
      <w:r w:rsidRPr="00264353">
        <w:rPr>
          <w:i/>
        </w:rPr>
        <w:t>L’analyse des actions et des discours en situation de travail. Concepts, méthodes et applications.</w:t>
      </w:r>
      <w:r>
        <w:t xml:space="preserve"> Louvain-la-Neuve : Peeters.</w:t>
      </w:r>
    </w:p>
    <w:p w:rsidR="001D2CAD" w:rsidRDefault="001D2CAD" w:rsidP="001D2CAD">
      <w:r>
        <w:t>Goffman</w:t>
      </w:r>
      <w:r>
        <w:rPr>
          <w:color w:val="FF0000"/>
        </w:rPr>
        <w:t>,</w:t>
      </w:r>
      <w:r>
        <w:t xml:space="preserve"> E. (1974) </w:t>
      </w:r>
      <w:r w:rsidRPr="00B21C19">
        <w:rPr>
          <w:i/>
        </w:rPr>
        <w:t>Les rites d’interaction</w:t>
      </w:r>
      <w:r>
        <w:t>. Paris : Les Editions de Minuit</w:t>
      </w:r>
      <w:r w:rsidRPr="00D75148">
        <w:t xml:space="preserve"> </w:t>
      </w:r>
    </w:p>
    <w:p w:rsidR="001D2CAD" w:rsidRDefault="001D2CAD" w:rsidP="001D2CAD">
      <w:pPr>
        <w:jc w:val="both"/>
      </w:pPr>
      <w:proofErr w:type="spellStart"/>
      <w:r>
        <w:t>Kerbrat-Orecchioni</w:t>
      </w:r>
      <w:proofErr w:type="spellEnd"/>
      <w:r>
        <w:rPr>
          <w:color w:val="FF0000"/>
        </w:rPr>
        <w:t>,</w:t>
      </w:r>
      <w:r>
        <w:t xml:space="preserve"> C. (2015) </w:t>
      </w:r>
      <w:r w:rsidRPr="00C92E63">
        <w:rPr>
          <w:i/>
        </w:rPr>
        <w:t>S’adresser à autrui : les formes nominales d’adresse dans une perspective comparative interculturel</w:t>
      </w:r>
      <w:r>
        <w:t xml:space="preserve">. Chambéry : Université de Savoie. </w:t>
      </w:r>
    </w:p>
    <w:p w:rsidR="001D2CAD" w:rsidRDefault="001D2CAD" w:rsidP="001E5373">
      <w:pPr>
        <w:jc w:val="both"/>
      </w:pPr>
    </w:p>
    <w:sectPr w:rsidR="001D2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FD"/>
    <w:rsid w:val="00067C17"/>
    <w:rsid w:val="001D2CAD"/>
    <w:rsid w:val="001E5373"/>
    <w:rsid w:val="00255A8F"/>
    <w:rsid w:val="003F3E0A"/>
    <w:rsid w:val="004715FD"/>
    <w:rsid w:val="00511E0C"/>
    <w:rsid w:val="00770D3F"/>
    <w:rsid w:val="00821FBA"/>
    <w:rsid w:val="00843C74"/>
    <w:rsid w:val="008F1757"/>
    <w:rsid w:val="00934F92"/>
    <w:rsid w:val="009907CA"/>
    <w:rsid w:val="00B91FFD"/>
    <w:rsid w:val="00C756B1"/>
    <w:rsid w:val="00C908B5"/>
    <w:rsid w:val="00CF5FDB"/>
    <w:rsid w:val="00E817F8"/>
    <w:rsid w:val="00F15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543</Words>
  <Characters>2990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dc:creator>
  <cp:lastModifiedBy>Padma</cp:lastModifiedBy>
  <cp:revision>16</cp:revision>
  <dcterms:created xsi:type="dcterms:W3CDTF">2016-02-12T08:48:00Z</dcterms:created>
  <dcterms:modified xsi:type="dcterms:W3CDTF">2016-02-15T18:15:00Z</dcterms:modified>
</cp:coreProperties>
</file>