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104A" w14:textId="77777777" w:rsidR="00D572C9" w:rsidRDefault="00E62BC8" w:rsidP="00E62BC8">
      <w:pPr>
        <w:pStyle w:val="Default"/>
        <w:jc w:val="center"/>
        <w:rPr>
          <w:b/>
        </w:rPr>
      </w:pPr>
      <w:r>
        <w:rPr>
          <w:b/>
        </w:rPr>
        <w:t>Revisiter le concept de dispositif : d</w:t>
      </w:r>
      <w:r w:rsidR="00D572C9">
        <w:rPr>
          <w:b/>
        </w:rPr>
        <w:t xml:space="preserve">u </w:t>
      </w:r>
      <w:bookmarkStart w:id="0" w:name="_GoBack"/>
      <w:bookmarkEnd w:id="0"/>
      <w:r w:rsidR="00D572C9">
        <w:rPr>
          <w:b/>
        </w:rPr>
        <w:t>dispositif au macro dispositif </w:t>
      </w:r>
      <w:r w:rsidR="00D03731">
        <w:rPr>
          <w:b/>
        </w:rPr>
        <w:t xml:space="preserve"> </w:t>
      </w:r>
    </w:p>
    <w:p w14:paraId="21EFBF86" w14:textId="77777777" w:rsidR="00D572C9" w:rsidRPr="00204B7D" w:rsidRDefault="00B44AA3" w:rsidP="00D572C9">
      <w:pPr>
        <w:pStyle w:val="Default"/>
        <w:jc w:val="center"/>
        <w:rPr>
          <w:b/>
        </w:rPr>
      </w:pPr>
      <w:r>
        <w:rPr>
          <w:b/>
        </w:rPr>
        <w:t xml:space="preserve">Cédric Aït-Ali et </w:t>
      </w:r>
      <w:r w:rsidR="00D572C9">
        <w:rPr>
          <w:b/>
        </w:rPr>
        <w:t xml:space="preserve">Isabelle Fabre </w:t>
      </w:r>
    </w:p>
    <w:p w14:paraId="05934CF4" w14:textId="77777777" w:rsidR="00D572C9" w:rsidRPr="00097FC4" w:rsidRDefault="00D572C9" w:rsidP="00D572C9">
      <w:pPr>
        <w:pBdr>
          <w:bottom w:val="single" w:sz="4" w:space="1" w:color="auto"/>
        </w:pBdr>
        <w:rPr>
          <w:rFonts w:ascii="Times New Roman" w:hAnsi="Times New Roman"/>
          <w:sz w:val="24"/>
          <w:szCs w:val="24"/>
        </w:rPr>
      </w:pPr>
    </w:p>
    <w:p w14:paraId="7EFBD4E0" w14:textId="77777777" w:rsidR="00D572C9" w:rsidRDefault="00D572C9" w:rsidP="00D572C9">
      <w:pPr>
        <w:jc w:val="both"/>
        <w:rPr>
          <w:rFonts w:ascii="Times New Roman" w:hAnsi="Times New Roman"/>
          <w:sz w:val="24"/>
          <w:szCs w:val="24"/>
        </w:rPr>
      </w:pPr>
      <w:r>
        <w:rPr>
          <w:rFonts w:ascii="Times New Roman" w:hAnsi="Times New Roman"/>
          <w:sz w:val="24"/>
          <w:szCs w:val="24"/>
        </w:rPr>
        <w:t xml:space="preserve">Le concept de dispositif est de plus en plus convoqué dans le domaine éducatif. Depuis quelques années, il est omniprésent dans les textes officiels, les projets d’établissements ou les documents académiques. </w:t>
      </w:r>
      <w:r w:rsidR="00D03731">
        <w:rPr>
          <w:rFonts w:ascii="Times New Roman" w:hAnsi="Times New Roman"/>
          <w:sz w:val="24"/>
          <w:szCs w:val="24"/>
        </w:rPr>
        <w:t>Ce concept est également développé par les Sciences de l’information et de la communication</w:t>
      </w:r>
      <w:r w:rsidR="003332CF">
        <w:rPr>
          <w:rFonts w:ascii="Times New Roman" w:hAnsi="Times New Roman"/>
          <w:sz w:val="24"/>
          <w:szCs w:val="24"/>
        </w:rPr>
        <w:t xml:space="preserve"> (Couzinet, 2009</w:t>
      </w:r>
      <w:r w:rsidR="00501BA4">
        <w:rPr>
          <w:rFonts w:ascii="Times New Roman" w:hAnsi="Times New Roman"/>
          <w:sz w:val="24"/>
          <w:szCs w:val="24"/>
        </w:rPr>
        <w:t xml:space="preserve"> ; </w:t>
      </w:r>
      <w:r w:rsidR="00501BA4">
        <w:rPr>
          <w:rFonts w:ascii="Times New Roman" w:eastAsiaTheme="minorEastAsia" w:hAnsi="Times New Roman"/>
          <w:sz w:val="24"/>
          <w:szCs w:val="24"/>
          <w:lang w:eastAsia="fr-FR"/>
        </w:rPr>
        <w:t xml:space="preserve">Gardiès </w:t>
      </w:r>
      <w:r w:rsidR="00501BA4" w:rsidRPr="00D111DF">
        <w:rPr>
          <w:rFonts w:ascii="Times New Roman" w:eastAsiaTheme="minorEastAsia" w:hAnsi="Times New Roman"/>
          <w:sz w:val="24"/>
          <w:szCs w:val="24"/>
          <w:lang w:eastAsia="fr-FR"/>
        </w:rPr>
        <w:t>&amp; Rinaudo</w:t>
      </w:r>
      <w:r w:rsidR="00501BA4">
        <w:rPr>
          <w:rFonts w:ascii="Times New Roman" w:eastAsiaTheme="minorEastAsia" w:hAnsi="Times New Roman"/>
          <w:sz w:val="24"/>
          <w:szCs w:val="24"/>
          <w:lang w:eastAsia="fr-FR"/>
        </w:rPr>
        <w:t>, 2015</w:t>
      </w:r>
      <w:r w:rsidR="00D03731">
        <w:rPr>
          <w:rFonts w:ascii="Times New Roman" w:hAnsi="Times New Roman"/>
          <w:sz w:val="24"/>
          <w:szCs w:val="24"/>
        </w:rPr>
        <w:t>).</w:t>
      </w:r>
      <w:r w:rsidR="00C8478C">
        <w:rPr>
          <w:rFonts w:ascii="Times New Roman" w:hAnsi="Times New Roman"/>
          <w:sz w:val="24"/>
          <w:szCs w:val="24"/>
        </w:rPr>
        <w:t xml:space="preserve"> </w:t>
      </w:r>
    </w:p>
    <w:p w14:paraId="1E2283F9" w14:textId="77777777" w:rsidR="00D572C9" w:rsidRDefault="00D572C9" w:rsidP="00D572C9">
      <w:pPr>
        <w:jc w:val="both"/>
        <w:rPr>
          <w:rFonts w:ascii="Times New Roman" w:hAnsi="Times New Roman"/>
          <w:sz w:val="24"/>
          <w:szCs w:val="24"/>
        </w:rPr>
      </w:pPr>
      <w:r>
        <w:rPr>
          <w:rFonts w:ascii="Times New Roman" w:hAnsi="Times New Roman"/>
          <w:sz w:val="24"/>
          <w:szCs w:val="24"/>
        </w:rPr>
        <w:t xml:space="preserve">De nombreux auteurs ont défini ce concept (Foucault, 1977 ; Belin, 2001 ; Agamben, 2007 ; </w:t>
      </w:r>
      <w:r w:rsidR="005A3AA9">
        <w:rPr>
          <w:rFonts w:ascii="Times New Roman" w:hAnsi="Times New Roman"/>
          <w:sz w:val="24"/>
          <w:szCs w:val="24"/>
        </w:rPr>
        <w:t>Ransøe</w:t>
      </w:r>
      <w:r>
        <w:rPr>
          <w:rFonts w:ascii="Times New Roman" w:hAnsi="Times New Roman"/>
          <w:sz w:val="24"/>
          <w:szCs w:val="24"/>
        </w:rPr>
        <w:t>, 2008 ; Albero, 2010 ; Audran, 2010 ; Barrère, 2013) et la littérature scientifique permet d’envisager les dispositifs de formation ou d’apprentissage selon deux axes. D’une part, celui d’un cadre, d’un agencement, d’une articulation d’éléments hétérogènes (Foucault, 1977). Il s’agit ici de la dimension stratégique et concerne plus spécifiquement le concepteur. D’autre part, celui du jeu dans le dispositif, celui de la marge de manœuvre (</w:t>
      </w:r>
      <w:r w:rsidR="005A3AA9">
        <w:rPr>
          <w:rFonts w:ascii="Times New Roman" w:hAnsi="Times New Roman"/>
          <w:sz w:val="24"/>
          <w:szCs w:val="24"/>
        </w:rPr>
        <w:t>Lévi-Strauss</w:t>
      </w:r>
      <w:r>
        <w:rPr>
          <w:rFonts w:ascii="Times New Roman" w:hAnsi="Times New Roman"/>
          <w:sz w:val="24"/>
          <w:szCs w:val="24"/>
        </w:rPr>
        <w:t>, 1962 ; Belin, 2001)</w:t>
      </w:r>
      <w:r w:rsidR="00501BA4">
        <w:rPr>
          <w:rFonts w:ascii="Times New Roman" w:hAnsi="Times New Roman"/>
          <w:sz w:val="24"/>
          <w:szCs w:val="24"/>
        </w:rPr>
        <w:t>, d’espace de liberté nécessaire (Weisser, 2010)</w:t>
      </w:r>
      <w:r>
        <w:rPr>
          <w:rFonts w:ascii="Times New Roman" w:hAnsi="Times New Roman"/>
          <w:sz w:val="24"/>
          <w:szCs w:val="24"/>
        </w:rPr>
        <w:t xml:space="preserve"> qui permet aux destinataires de s’approprier et d’habiter le dispositif. Il est ainsi possible de voir le dispositif à la fois comme un espace de pouvoir et comme un espace de potentialité. Un espace de pouvoir au sens de Foucault </w:t>
      </w:r>
      <w:r w:rsidR="00F062A1">
        <w:rPr>
          <w:rFonts w:ascii="Times New Roman" w:hAnsi="Times New Roman"/>
          <w:sz w:val="24"/>
          <w:szCs w:val="24"/>
        </w:rPr>
        <w:t xml:space="preserve">qui </w:t>
      </w:r>
      <w:r>
        <w:rPr>
          <w:rFonts w:ascii="Times New Roman" w:hAnsi="Times New Roman"/>
          <w:sz w:val="24"/>
          <w:szCs w:val="24"/>
        </w:rPr>
        <w:t>s’écarte de la vision négative d’un pouvoir qui écrase pour adopter une vision positive d’un</w:t>
      </w:r>
      <w:r w:rsidR="00F062A1">
        <w:rPr>
          <w:rFonts w:ascii="Times New Roman" w:hAnsi="Times New Roman"/>
          <w:sz w:val="24"/>
          <w:szCs w:val="24"/>
        </w:rPr>
        <w:t xml:space="preserve"> pouvoir qui produit des choses. Il </w:t>
      </w:r>
      <w:r>
        <w:rPr>
          <w:rFonts w:ascii="Times New Roman" w:hAnsi="Times New Roman"/>
          <w:sz w:val="24"/>
          <w:szCs w:val="24"/>
        </w:rPr>
        <w:t>le considère comme « un réseau productif qui passe à travers tout le corps social » (Foucault, 1961). Un espace potentiel, au sens de Belin, en permettant aux destinataires, en fonction de leur bagage, de s’approprier le cadre, « un lieu dans lequel prend place l’expérience » (Belin, 2001)</w:t>
      </w:r>
      <w:r w:rsidR="00D03731">
        <w:rPr>
          <w:rFonts w:ascii="Times New Roman" w:hAnsi="Times New Roman"/>
          <w:sz w:val="24"/>
          <w:szCs w:val="24"/>
        </w:rPr>
        <w:t xml:space="preserve"> </w:t>
      </w:r>
      <w:r w:rsidR="006C67A7">
        <w:rPr>
          <w:rFonts w:ascii="Times New Roman" w:hAnsi="Times New Roman"/>
          <w:sz w:val="24"/>
          <w:szCs w:val="24"/>
        </w:rPr>
        <w:t xml:space="preserve">comme nous avons pu le mettre en évidence en ce qui concerne divers </w:t>
      </w:r>
      <w:r w:rsidR="00D03731">
        <w:rPr>
          <w:rFonts w:ascii="Times New Roman" w:hAnsi="Times New Roman"/>
          <w:sz w:val="24"/>
          <w:szCs w:val="24"/>
        </w:rPr>
        <w:t>espace</w:t>
      </w:r>
      <w:r w:rsidR="006C67A7">
        <w:rPr>
          <w:rFonts w:ascii="Times New Roman" w:hAnsi="Times New Roman"/>
          <w:sz w:val="24"/>
          <w:szCs w:val="24"/>
        </w:rPr>
        <w:t>s</w:t>
      </w:r>
      <w:r w:rsidR="00D03731">
        <w:rPr>
          <w:rFonts w:ascii="Times New Roman" w:hAnsi="Times New Roman"/>
          <w:sz w:val="24"/>
          <w:szCs w:val="24"/>
        </w:rPr>
        <w:t xml:space="preserve"> documentaire</w:t>
      </w:r>
      <w:r w:rsidR="006C67A7">
        <w:rPr>
          <w:rFonts w:ascii="Times New Roman" w:hAnsi="Times New Roman"/>
          <w:sz w:val="24"/>
          <w:szCs w:val="24"/>
        </w:rPr>
        <w:t>s</w:t>
      </w:r>
      <w:r w:rsidR="00E309EB">
        <w:rPr>
          <w:rFonts w:ascii="Times New Roman" w:hAnsi="Times New Roman"/>
          <w:sz w:val="24"/>
          <w:szCs w:val="24"/>
        </w:rPr>
        <w:t xml:space="preserve"> liés à la formation</w:t>
      </w:r>
      <w:r w:rsidR="00D03731">
        <w:rPr>
          <w:rFonts w:ascii="Times New Roman" w:hAnsi="Times New Roman"/>
          <w:sz w:val="24"/>
          <w:szCs w:val="24"/>
        </w:rPr>
        <w:t xml:space="preserve"> </w:t>
      </w:r>
      <w:r w:rsidR="00D03731" w:rsidRPr="006C67A7">
        <w:rPr>
          <w:rFonts w:ascii="Times New Roman" w:hAnsi="Times New Roman"/>
          <w:sz w:val="24"/>
          <w:szCs w:val="24"/>
        </w:rPr>
        <w:t>(Fabre</w:t>
      </w:r>
      <w:r w:rsidR="003332CF" w:rsidRPr="006C67A7">
        <w:rPr>
          <w:rFonts w:ascii="Times New Roman" w:hAnsi="Times New Roman"/>
          <w:sz w:val="24"/>
          <w:szCs w:val="24"/>
        </w:rPr>
        <w:t>, 2009</w:t>
      </w:r>
      <w:r w:rsidR="006C67A7" w:rsidRPr="006C67A7">
        <w:rPr>
          <w:rFonts w:ascii="Times New Roman" w:hAnsi="Times New Roman"/>
          <w:sz w:val="24"/>
          <w:szCs w:val="24"/>
        </w:rPr>
        <w:t>, 2012</w:t>
      </w:r>
      <w:r w:rsidR="00D03731" w:rsidRPr="006C67A7">
        <w:rPr>
          <w:rFonts w:ascii="Times New Roman" w:hAnsi="Times New Roman"/>
          <w:sz w:val="24"/>
          <w:szCs w:val="24"/>
        </w:rPr>
        <w:t>)</w:t>
      </w:r>
      <w:r w:rsidRPr="006C67A7">
        <w:rPr>
          <w:rFonts w:ascii="Times New Roman" w:hAnsi="Times New Roman"/>
          <w:sz w:val="24"/>
          <w:szCs w:val="24"/>
        </w:rPr>
        <w:t xml:space="preserve">. </w:t>
      </w:r>
    </w:p>
    <w:p w14:paraId="2D2D9ED5" w14:textId="77777777" w:rsidR="00D572C9" w:rsidRDefault="00D572C9" w:rsidP="00D572C9">
      <w:pPr>
        <w:jc w:val="both"/>
        <w:rPr>
          <w:rFonts w:ascii="Times New Roman" w:hAnsi="Times New Roman"/>
          <w:sz w:val="24"/>
          <w:szCs w:val="24"/>
        </w:rPr>
      </w:pPr>
      <w:r>
        <w:rPr>
          <w:rFonts w:ascii="Times New Roman" w:hAnsi="Times New Roman"/>
          <w:sz w:val="24"/>
          <w:szCs w:val="24"/>
        </w:rPr>
        <w:t xml:space="preserve">Or </w:t>
      </w:r>
      <w:r w:rsidR="00B44AA3">
        <w:rPr>
          <w:rFonts w:ascii="Times New Roman" w:hAnsi="Times New Roman"/>
          <w:sz w:val="24"/>
          <w:szCs w:val="24"/>
        </w:rPr>
        <w:t xml:space="preserve">si </w:t>
      </w:r>
      <w:r>
        <w:rPr>
          <w:rFonts w:ascii="Times New Roman" w:hAnsi="Times New Roman"/>
          <w:sz w:val="24"/>
          <w:szCs w:val="24"/>
        </w:rPr>
        <w:t>le dispositif est ce qui organise la situation de formation ou d’apprentissage</w:t>
      </w:r>
      <w:r w:rsidR="00B44AA3">
        <w:rPr>
          <w:rFonts w:ascii="Times New Roman" w:hAnsi="Times New Roman"/>
          <w:sz w:val="24"/>
          <w:szCs w:val="24"/>
        </w:rPr>
        <w:t xml:space="preserve">, </w:t>
      </w:r>
      <w:r>
        <w:rPr>
          <w:rFonts w:ascii="Times New Roman" w:hAnsi="Times New Roman"/>
          <w:sz w:val="24"/>
          <w:szCs w:val="24"/>
        </w:rPr>
        <w:t>il n’est jamais isolé. De nombreux exemples récents – la mise en place du Projet éducatif territorial à l’échelle d’une commune</w:t>
      </w:r>
      <w:r w:rsidR="005A3AA9">
        <w:rPr>
          <w:rFonts w:ascii="Times New Roman" w:hAnsi="Times New Roman"/>
          <w:sz w:val="24"/>
          <w:szCs w:val="24"/>
        </w:rPr>
        <w:t xml:space="preserve"> (Aït-Ali, 2016)</w:t>
      </w:r>
      <w:r>
        <w:rPr>
          <w:rFonts w:ascii="Times New Roman" w:hAnsi="Times New Roman"/>
          <w:sz w:val="24"/>
          <w:szCs w:val="24"/>
        </w:rPr>
        <w:t xml:space="preserve"> ou la mise en place des dispositifs hors classe à l’échelle des établissements</w:t>
      </w:r>
      <w:r w:rsidR="005A3AA9">
        <w:rPr>
          <w:rFonts w:ascii="Times New Roman" w:hAnsi="Times New Roman"/>
          <w:sz w:val="24"/>
          <w:szCs w:val="24"/>
        </w:rPr>
        <w:t xml:space="preserve"> (Aït-Ali, 2015)</w:t>
      </w:r>
      <w:r w:rsidR="00501BA4">
        <w:rPr>
          <w:rFonts w:ascii="Times New Roman" w:hAnsi="Times New Roman"/>
          <w:sz w:val="24"/>
          <w:szCs w:val="24"/>
        </w:rPr>
        <w:t xml:space="preserve"> par exemple </w:t>
      </w:r>
      <w:r>
        <w:rPr>
          <w:rFonts w:ascii="Times New Roman" w:hAnsi="Times New Roman"/>
          <w:sz w:val="24"/>
          <w:szCs w:val="24"/>
        </w:rPr>
        <w:t>– font apparaître une somme de dispositifs</w:t>
      </w:r>
      <w:r w:rsidR="00B44AA3">
        <w:rPr>
          <w:rFonts w:ascii="Times New Roman" w:hAnsi="Times New Roman"/>
          <w:sz w:val="24"/>
          <w:szCs w:val="24"/>
        </w:rPr>
        <w:t xml:space="preserve"> qui,</w:t>
      </w:r>
      <w:r>
        <w:rPr>
          <w:rFonts w:ascii="Times New Roman" w:hAnsi="Times New Roman"/>
          <w:sz w:val="24"/>
          <w:szCs w:val="24"/>
        </w:rPr>
        <w:t xml:space="preserve"> agencés d’une certaine façon</w:t>
      </w:r>
      <w:r w:rsidR="00B44AA3">
        <w:rPr>
          <w:rFonts w:ascii="Times New Roman" w:hAnsi="Times New Roman"/>
          <w:sz w:val="24"/>
          <w:szCs w:val="24"/>
        </w:rPr>
        <w:t xml:space="preserve">, </w:t>
      </w:r>
      <w:r>
        <w:rPr>
          <w:rFonts w:ascii="Times New Roman" w:hAnsi="Times New Roman"/>
          <w:sz w:val="24"/>
          <w:szCs w:val="24"/>
        </w:rPr>
        <w:t>s’alimentent d’une stratégie globale. Ne peut-on dire qu’il s’agit de dispositifs instituant</w:t>
      </w:r>
      <w:r w:rsidR="00B44AA3">
        <w:rPr>
          <w:rFonts w:ascii="Times New Roman" w:hAnsi="Times New Roman"/>
          <w:sz w:val="24"/>
          <w:szCs w:val="24"/>
        </w:rPr>
        <w:t>s</w:t>
      </w:r>
      <w:r>
        <w:rPr>
          <w:rFonts w:ascii="Times New Roman" w:hAnsi="Times New Roman"/>
          <w:sz w:val="24"/>
          <w:szCs w:val="24"/>
        </w:rPr>
        <w:t xml:space="preserve"> tels que nous les retrouvons dans les propos de Foucault et de Castoriadis ? </w:t>
      </w:r>
    </w:p>
    <w:p w14:paraId="4A330DC5" w14:textId="77777777" w:rsidR="00D572C9" w:rsidRDefault="00D572C9" w:rsidP="00D572C9">
      <w:pPr>
        <w:jc w:val="both"/>
        <w:rPr>
          <w:rFonts w:ascii="Times New Roman" w:hAnsi="Times New Roman"/>
          <w:sz w:val="24"/>
          <w:szCs w:val="24"/>
        </w:rPr>
      </w:pPr>
      <w:r>
        <w:rPr>
          <w:rFonts w:ascii="Times New Roman" w:hAnsi="Times New Roman"/>
          <w:sz w:val="24"/>
          <w:szCs w:val="24"/>
        </w:rPr>
        <w:t>En effet, Foucault</w:t>
      </w:r>
      <w:r w:rsidR="00501BA4">
        <w:rPr>
          <w:rFonts w:ascii="Times New Roman" w:hAnsi="Times New Roman"/>
          <w:sz w:val="24"/>
          <w:szCs w:val="24"/>
        </w:rPr>
        <w:t xml:space="preserve"> (1977)</w:t>
      </w:r>
      <w:r>
        <w:rPr>
          <w:rFonts w:ascii="Times New Roman" w:hAnsi="Times New Roman"/>
          <w:sz w:val="24"/>
          <w:szCs w:val="24"/>
        </w:rPr>
        <w:t>, dans la définition qu’il donne du dispositif</w:t>
      </w:r>
      <w:r w:rsidR="00501BA4">
        <w:rPr>
          <w:rFonts w:ascii="Times New Roman" w:hAnsi="Times New Roman"/>
          <w:sz w:val="24"/>
          <w:szCs w:val="24"/>
        </w:rPr>
        <w:t xml:space="preserve"> et </w:t>
      </w:r>
      <w:r>
        <w:rPr>
          <w:rFonts w:ascii="Times New Roman" w:hAnsi="Times New Roman"/>
          <w:sz w:val="24"/>
          <w:szCs w:val="24"/>
        </w:rPr>
        <w:t xml:space="preserve">lorsqu’il </w:t>
      </w:r>
      <w:r w:rsidR="00501BA4">
        <w:rPr>
          <w:rFonts w:ascii="Times New Roman" w:hAnsi="Times New Roman"/>
          <w:sz w:val="24"/>
          <w:szCs w:val="24"/>
        </w:rPr>
        <w:t>évoque le</w:t>
      </w:r>
      <w:r>
        <w:rPr>
          <w:rFonts w:ascii="Times New Roman" w:hAnsi="Times New Roman"/>
          <w:sz w:val="24"/>
          <w:szCs w:val="24"/>
        </w:rPr>
        <w:t xml:space="preserve"> « non-dit » désigne tout « comportement plus ou moins contraint, appris. Tout ce qui dans une société fonctionne comme système de contrainte, sans être énoncé, bref, tout le social non discursif, c’est l’institution. » Nous pouvons entendre par institution, « ce qui tient une société ensemble […], le complexe total de ses institutions particulières, ce que j’appelle “l’institution de la société comme un tout” — le mot institution étant pris ici dans le sens le plus large et le plus radical : normes, valeurs, langage, outils, procédures et méthodes de faire face aux choses et de faire les choses et, bien entendu, l’individu lui-même, aussi bien en général que dans le type et la forme particuliers que lui donne la société considérée » (Castoriadis, 1986). Peut-on dans cette visée, envisager la présence de dispositifs surplombants que nous proposons, au moins provisoirement, de nommer macro-dispositif ? </w:t>
      </w:r>
    </w:p>
    <w:p w14:paraId="23A427D8" w14:textId="77777777" w:rsidR="00D572C9" w:rsidRDefault="00D03731" w:rsidP="00D572C9">
      <w:pPr>
        <w:jc w:val="both"/>
        <w:rPr>
          <w:rFonts w:ascii="Times New Roman" w:hAnsi="Times New Roman"/>
          <w:sz w:val="24"/>
          <w:szCs w:val="24"/>
        </w:rPr>
      </w:pPr>
      <w:r>
        <w:rPr>
          <w:rFonts w:ascii="Times New Roman" w:hAnsi="Times New Roman"/>
          <w:sz w:val="24"/>
          <w:szCs w:val="24"/>
        </w:rPr>
        <w:t>La complexité permet-elle de penser la notion de dispositif ?</w:t>
      </w:r>
      <w:r w:rsidR="00BB48B9">
        <w:rPr>
          <w:rFonts w:ascii="Times New Roman" w:hAnsi="Times New Roman"/>
          <w:sz w:val="24"/>
          <w:szCs w:val="24"/>
        </w:rPr>
        <w:t xml:space="preserve"> </w:t>
      </w:r>
      <w:r>
        <w:rPr>
          <w:rFonts w:ascii="Times New Roman" w:hAnsi="Times New Roman"/>
          <w:sz w:val="24"/>
          <w:szCs w:val="24"/>
        </w:rPr>
        <w:t xml:space="preserve">Comment s’articulent et s’agencent les différents types de dispositifs ? </w:t>
      </w:r>
      <w:r w:rsidR="00D572C9">
        <w:rPr>
          <w:rFonts w:ascii="Times New Roman" w:hAnsi="Times New Roman"/>
          <w:sz w:val="24"/>
          <w:szCs w:val="24"/>
        </w:rPr>
        <w:t>Dans cette perspective, existe-t-il dans les situations d’apprentissages ou de formation</w:t>
      </w:r>
      <w:r w:rsidR="00B44AA3">
        <w:rPr>
          <w:rFonts w:ascii="Times New Roman" w:hAnsi="Times New Roman"/>
          <w:sz w:val="24"/>
          <w:szCs w:val="24"/>
        </w:rPr>
        <w:t>s</w:t>
      </w:r>
      <w:r w:rsidR="00D572C9">
        <w:rPr>
          <w:rFonts w:ascii="Times New Roman" w:hAnsi="Times New Roman"/>
          <w:sz w:val="24"/>
          <w:szCs w:val="24"/>
        </w:rPr>
        <w:t xml:space="preserve"> un dispositif surplombant, englobant, posant les </w:t>
      </w:r>
      <w:r w:rsidR="00D572C9">
        <w:rPr>
          <w:rFonts w:ascii="Times New Roman" w:hAnsi="Times New Roman"/>
          <w:sz w:val="24"/>
          <w:szCs w:val="24"/>
        </w:rPr>
        <w:lastRenderedPageBreak/>
        <w:t>normes et les orientations</w:t>
      </w:r>
      <w:r>
        <w:rPr>
          <w:rFonts w:ascii="Times New Roman" w:hAnsi="Times New Roman"/>
          <w:sz w:val="24"/>
          <w:szCs w:val="24"/>
        </w:rPr>
        <w:t xml:space="preserve"> ? </w:t>
      </w:r>
      <w:r w:rsidR="00BB48B9">
        <w:rPr>
          <w:rFonts w:ascii="Times New Roman" w:hAnsi="Times New Roman"/>
          <w:sz w:val="24"/>
          <w:szCs w:val="24"/>
        </w:rPr>
        <w:t xml:space="preserve">Entre autonomie et dépendance, comment se construit la structure dispositive ? </w:t>
      </w:r>
    </w:p>
    <w:p w14:paraId="6B9944CF" w14:textId="77777777" w:rsidR="00D572C9" w:rsidRDefault="00D572C9" w:rsidP="00D572C9">
      <w:pPr>
        <w:jc w:val="both"/>
        <w:rPr>
          <w:rFonts w:ascii="Times New Roman" w:hAnsi="Times New Roman"/>
          <w:sz w:val="24"/>
          <w:szCs w:val="24"/>
        </w:rPr>
      </w:pPr>
      <w:r>
        <w:rPr>
          <w:rFonts w:ascii="Times New Roman" w:hAnsi="Times New Roman"/>
          <w:sz w:val="24"/>
          <w:szCs w:val="24"/>
        </w:rPr>
        <w:t>Le symposium invite donc les contributeurs à adopter une démarche réflexive sur leurs travaux de recherches pour présenter les dispositifs qu’ils ont étudié</w:t>
      </w:r>
      <w:r w:rsidR="00B44AA3">
        <w:rPr>
          <w:rFonts w:ascii="Times New Roman" w:hAnsi="Times New Roman"/>
          <w:sz w:val="24"/>
          <w:szCs w:val="24"/>
        </w:rPr>
        <w:t>s</w:t>
      </w:r>
      <w:r>
        <w:rPr>
          <w:rFonts w:ascii="Times New Roman" w:hAnsi="Times New Roman"/>
          <w:sz w:val="24"/>
          <w:szCs w:val="24"/>
        </w:rPr>
        <w:t xml:space="preserve"> en insistant sur la dimension stratégique et sur l’espace de potentialité accordé aux destinataires pour ensuite s’interroger collectivement sur le concept de macro-dispositif et « proposer » l’esquisse d’une définition. </w:t>
      </w:r>
    </w:p>
    <w:p w14:paraId="4DD75176" w14:textId="206555C7" w:rsidR="00247621" w:rsidRPr="00247621" w:rsidRDefault="00247621" w:rsidP="00D572C9">
      <w:pPr>
        <w:jc w:val="both"/>
        <w:rPr>
          <w:rFonts w:ascii="Times New Roman" w:hAnsi="Times New Roman"/>
          <w:b/>
          <w:sz w:val="24"/>
          <w:szCs w:val="24"/>
        </w:rPr>
      </w:pPr>
      <w:r w:rsidRPr="00247621">
        <w:rPr>
          <w:rFonts w:ascii="Times New Roman" w:hAnsi="Times New Roman"/>
          <w:b/>
          <w:sz w:val="24"/>
          <w:szCs w:val="24"/>
        </w:rPr>
        <w:t>Ancrage dans le congrès de l’AREF :</w:t>
      </w:r>
    </w:p>
    <w:p w14:paraId="516030A5" w14:textId="745B6E3E" w:rsidR="00247621" w:rsidRDefault="00247621" w:rsidP="00247621">
      <w:pPr>
        <w:jc w:val="both"/>
        <w:rPr>
          <w:rFonts w:ascii="Times New Roman" w:hAnsi="Times New Roman"/>
          <w:color w:val="343434"/>
          <w:sz w:val="24"/>
          <w:szCs w:val="24"/>
        </w:rPr>
      </w:pPr>
      <w:r w:rsidRPr="00247621">
        <w:rPr>
          <w:rFonts w:ascii="Times New Roman" w:hAnsi="Times New Roman"/>
          <w:sz w:val="24"/>
          <w:szCs w:val="24"/>
        </w:rPr>
        <w:t xml:space="preserve">Au travers de ce symposium, nous souhaitons participer aux questionnements transversaux posés par le comité d’organisation de l’AREF en retenant la démarche de « proposition.» Nous pensons qu’il  peut y avoir une </w:t>
      </w:r>
      <w:r w:rsidRPr="00247621">
        <w:rPr>
          <w:rFonts w:ascii="Times New Roman" w:hAnsi="Times New Roman"/>
          <w:color w:val="343434"/>
          <w:sz w:val="24"/>
          <w:szCs w:val="24"/>
        </w:rPr>
        <w:t>démarche réflexive</w:t>
      </w:r>
      <w:r>
        <w:rPr>
          <w:rFonts w:ascii="Times New Roman" w:hAnsi="Times New Roman"/>
          <w:color w:val="343434"/>
          <w:sz w:val="24"/>
          <w:szCs w:val="24"/>
        </w:rPr>
        <w:t xml:space="preserve"> plus propositionnelle </w:t>
      </w:r>
      <w:r w:rsidRPr="00247621">
        <w:rPr>
          <w:rFonts w:ascii="Times New Roman" w:hAnsi="Times New Roman"/>
          <w:color w:val="343434"/>
          <w:sz w:val="24"/>
          <w:szCs w:val="24"/>
        </w:rPr>
        <w:t xml:space="preserve"> et qu’il est possible de </w:t>
      </w:r>
      <w:r>
        <w:rPr>
          <w:rFonts w:ascii="Times New Roman" w:hAnsi="Times New Roman"/>
          <w:color w:val="343434"/>
          <w:sz w:val="24"/>
          <w:szCs w:val="24"/>
        </w:rPr>
        <w:t>chercher réponse</w:t>
      </w:r>
      <w:r w:rsidRPr="00247621">
        <w:rPr>
          <w:rFonts w:ascii="Times New Roman" w:hAnsi="Times New Roman"/>
          <w:color w:val="343434"/>
          <w:sz w:val="24"/>
          <w:szCs w:val="24"/>
        </w:rPr>
        <w:t>s</w:t>
      </w:r>
      <w:r>
        <w:rPr>
          <w:rFonts w:ascii="Times New Roman" w:hAnsi="Times New Roman"/>
          <w:color w:val="343434"/>
          <w:sz w:val="24"/>
          <w:szCs w:val="24"/>
        </w:rPr>
        <w:t xml:space="preserve"> aux </w:t>
      </w:r>
      <w:r w:rsidRPr="00247621">
        <w:rPr>
          <w:rFonts w:ascii="Times New Roman" w:hAnsi="Times New Roman"/>
          <w:color w:val="343434"/>
          <w:sz w:val="24"/>
          <w:szCs w:val="24"/>
        </w:rPr>
        <w:t>questions suivantes : « Comment articuler lignes traditionnelles de recherche et émergence de nouveaux enjeux et défis ? Comment contribuer à une interprétation d'un phénomène complexe sur  la base de recherches parcellisées menées à partir d'angles disciplinaires différents ? »</w:t>
      </w:r>
    </w:p>
    <w:p w14:paraId="6A986857" w14:textId="44562F0B" w:rsidR="00247621" w:rsidRPr="00247621" w:rsidRDefault="00247621" w:rsidP="00D572C9">
      <w:pPr>
        <w:jc w:val="both"/>
        <w:rPr>
          <w:rFonts w:ascii="Times New Roman" w:hAnsi="Times New Roman"/>
          <w:color w:val="343434"/>
          <w:sz w:val="24"/>
          <w:szCs w:val="24"/>
        </w:rPr>
      </w:pPr>
      <w:r>
        <w:rPr>
          <w:rFonts w:ascii="Times New Roman" w:hAnsi="Times New Roman"/>
          <w:color w:val="343434"/>
          <w:sz w:val="24"/>
          <w:szCs w:val="24"/>
        </w:rPr>
        <w:t>Chaque participant devra répondre à ces questions en les me</w:t>
      </w:r>
      <w:r w:rsidR="00F52612">
        <w:rPr>
          <w:rFonts w:ascii="Times New Roman" w:hAnsi="Times New Roman"/>
          <w:color w:val="343434"/>
          <w:sz w:val="24"/>
          <w:szCs w:val="24"/>
        </w:rPr>
        <w:t>ttant en perspectives avec sa contribution</w:t>
      </w:r>
      <w:r>
        <w:rPr>
          <w:rFonts w:ascii="Times New Roman" w:hAnsi="Times New Roman"/>
          <w:color w:val="343434"/>
          <w:sz w:val="24"/>
          <w:szCs w:val="24"/>
        </w:rPr>
        <w:t xml:space="preserve"> et un temps collectif viser</w:t>
      </w:r>
      <w:r w:rsidR="00F52612">
        <w:rPr>
          <w:rFonts w:ascii="Times New Roman" w:hAnsi="Times New Roman"/>
          <w:color w:val="343434"/>
          <w:sz w:val="24"/>
          <w:szCs w:val="24"/>
        </w:rPr>
        <w:t>a à structurer</w:t>
      </w:r>
      <w:r>
        <w:rPr>
          <w:rFonts w:ascii="Times New Roman" w:hAnsi="Times New Roman"/>
          <w:color w:val="343434"/>
          <w:sz w:val="24"/>
          <w:szCs w:val="24"/>
        </w:rPr>
        <w:t xml:space="preserve"> </w:t>
      </w:r>
      <w:r w:rsidR="00F52612">
        <w:rPr>
          <w:rFonts w:ascii="Times New Roman" w:hAnsi="Times New Roman"/>
          <w:color w:val="343434"/>
          <w:sz w:val="24"/>
          <w:szCs w:val="24"/>
        </w:rPr>
        <w:t xml:space="preserve">et formaliser </w:t>
      </w:r>
      <w:r>
        <w:rPr>
          <w:rFonts w:ascii="Times New Roman" w:hAnsi="Times New Roman"/>
          <w:color w:val="343434"/>
          <w:sz w:val="24"/>
          <w:szCs w:val="24"/>
        </w:rPr>
        <w:t xml:space="preserve">cette réflexion. </w:t>
      </w:r>
    </w:p>
    <w:p w14:paraId="42B005EF" w14:textId="77777777" w:rsidR="00247621" w:rsidRDefault="00247621" w:rsidP="00D572C9">
      <w:pPr>
        <w:jc w:val="both"/>
        <w:rPr>
          <w:rFonts w:ascii="Times New Roman" w:hAnsi="Times New Roman"/>
          <w:b/>
          <w:sz w:val="24"/>
          <w:szCs w:val="24"/>
        </w:rPr>
      </w:pPr>
    </w:p>
    <w:p w14:paraId="71F1B401" w14:textId="77777777" w:rsidR="00D572C9" w:rsidRDefault="00D572C9" w:rsidP="00D572C9">
      <w:pPr>
        <w:jc w:val="both"/>
        <w:rPr>
          <w:rFonts w:ascii="Times New Roman" w:hAnsi="Times New Roman"/>
          <w:sz w:val="24"/>
          <w:szCs w:val="24"/>
        </w:rPr>
      </w:pPr>
      <w:r w:rsidRPr="00BB48B9">
        <w:rPr>
          <w:rFonts w:ascii="Times New Roman" w:hAnsi="Times New Roman"/>
          <w:b/>
          <w:sz w:val="24"/>
          <w:szCs w:val="24"/>
        </w:rPr>
        <w:t>Mot clé</w:t>
      </w:r>
      <w:r>
        <w:rPr>
          <w:rFonts w:ascii="Times New Roman" w:hAnsi="Times New Roman"/>
          <w:sz w:val="24"/>
          <w:szCs w:val="24"/>
        </w:rPr>
        <w:t> : dispositif – stratégie – potentialité – éducation – formation</w:t>
      </w:r>
    </w:p>
    <w:p w14:paraId="60937F79" w14:textId="4EDF27C7" w:rsidR="00D572C9" w:rsidRDefault="00D572C9" w:rsidP="005A3AA9">
      <w:pPr>
        <w:jc w:val="both"/>
        <w:rPr>
          <w:rFonts w:ascii="Times New Roman" w:hAnsi="Times New Roman"/>
          <w:sz w:val="24"/>
          <w:szCs w:val="24"/>
        </w:rPr>
      </w:pPr>
      <w:r>
        <w:rPr>
          <w:rFonts w:ascii="Times New Roman" w:hAnsi="Times New Roman"/>
          <w:sz w:val="24"/>
          <w:szCs w:val="24"/>
        </w:rPr>
        <w:t xml:space="preserve">Organisation possible : En partant des textes martyrs, chaque contributeur aura </w:t>
      </w:r>
      <w:r w:rsidR="009D0BB8">
        <w:rPr>
          <w:rFonts w:ascii="Times New Roman" w:hAnsi="Times New Roman"/>
          <w:sz w:val="24"/>
          <w:szCs w:val="24"/>
        </w:rPr>
        <w:t xml:space="preserve">à </w:t>
      </w:r>
      <w:r w:rsidR="00B44AA3">
        <w:rPr>
          <w:rFonts w:ascii="Times New Roman" w:hAnsi="Times New Roman"/>
          <w:sz w:val="24"/>
          <w:szCs w:val="24"/>
        </w:rPr>
        <w:t xml:space="preserve">expertiser </w:t>
      </w:r>
      <w:r>
        <w:rPr>
          <w:rFonts w:ascii="Times New Roman" w:hAnsi="Times New Roman"/>
          <w:sz w:val="24"/>
          <w:szCs w:val="24"/>
        </w:rPr>
        <w:t xml:space="preserve">le texte d’un autre participant. Chaque contribution sera dans un premier temps présentée par son auteur et discutée par le lecteur. Suite aux différentes communications et aux différentes réactions, un temps d’échange sera </w:t>
      </w:r>
      <w:r w:rsidR="00B44AA3">
        <w:rPr>
          <w:rFonts w:ascii="Times New Roman" w:hAnsi="Times New Roman"/>
          <w:sz w:val="24"/>
          <w:szCs w:val="24"/>
        </w:rPr>
        <w:t xml:space="preserve">consacré </w:t>
      </w:r>
      <w:r>
        <w:rPr>
          <w:rFonts w:ascii="Times New Roman" w:hAnsi="Times New Roman"/>
          <w:sz w:val="24"/>
          <w:szCs w:val="24"/>
        </w:rPr>
        <w:t>à la réflexion sur le thème du macro-dispositif</w:t>
      </w:r>
      <w:r w:rsidR="0061210E">
        <w:rPr>
          <w:rFonts w:ascii="Times New Roman" w:hAnsi="Times New Roman"/>
          <w:sz w:val="24"/>
          <w:szCs w:val="24"/>
        </w:rPr>
        <w:t xml:space="preserve"> et visera à répondre aux questions relatives à la thématique</w:t>
      </w:r>
      <w:r>
        <w:rPr>
          <w:rFonts w:ascii="Times New Roman" w:hAnsi="Times New Roman"/>
          <w:sz w:val="24"/>
          <w:szCs w:val="24"/>
        </w:rPr>
        <w:t xml:space="preserve">. </w:t>
      </w:r>
    </w:p>
    <w:p w14:paraId="158E4191" w14:textId="74873EC6" w:rsidR="00D572C9" w:rsidRDefault="00D572C9" w:rsidP="005A3AA9">
      <w:pPr>
        <w:jc w:val="both"/>
        <w:rPr>
          <w:rFonts w:ascii="Times New Roman" w:hAnsi="Times New Roman"/>
          <w:sz w:val="24"/>
          <w:szCs w:val="24"/>
        </w:rPr>
      </w:pPr>
      <w:r>
        <w:rPr>
          <w:rFonts w:ascii="Times New Roman" w:hAnsi="Times New Roman"/>
          <w:sz w:val="24"/>
          <w:szCs w:val="24"/>
        </w:rPr>
        <w:t>Grands</w:t>
      </w:r>
      <w:r w:rsidR="00247621">
        <w:rPr>
          <w:rFonts w:ascii="Times New Roman" w:hAnsi="Times New Roman"/>
          <w:sz w:val="24"/>
          <w:szCs w:val="24"/>
        </w:rPr>
        <w:t xml:space="preserve"> témoins : Jean François Marcel &amp; Jacques Audran</w:t>
      </w:r>
    </w:p>
    <w:p w14:paraId="0D760DC7" w14:textId="77777777" w:rsidR="00D572C9" w:rsidRDefault="00501BA4" w:rsidP="005A3AA9">
      <w:pPr>
        <w:jc w:val="both"/>
        <w:rPr>
          <w:rFonts w:ascii="Times New Roman" w:hAnsi="Times New Roman"/>
          <w:sz w:val="24"/>
          <w:szCs w:val="24"/>
        </w:rPr>
      </w:pPr>
      <w:r>
        <w:rPr>
          <w:rFonts w:ascii="Times New Roman" w:hAnsi="Times New Roman"/>
          <w:sz w:val="24"/>
          <w:szCs w:val="24"/>
        </w:rPr>
        <w:t>É</w:t>
      </w:r>
      <w:r w:rsidR="00D572C9">
        <w:rPr>
          <w:rFonts w:ascii="Times New Roman" w:hAnsi="Times New Roman"/>
          <w:sz w:val="24"/>
          <w:szCs w:val="24"/>
        </w:rPr>
        <w:t>dition dans un ouvrage collectif</w:t>
      </w:r>
    </w:p>
    <w:p w14:paraId="04FB4451" w14:textId="77777777" w:rsidR="00D572C9" w:rsidRPr="009D0BB8" w:rsidRDefault="009D0BB8" w:rsidP="005A3AA9">
      <w:pPr>
        <w:jc w:val="both"/>
        <w:rPr>
          <w:rFonts w:ascii="Times New Roman" w:hAnsi="Times New Roman"/>
          <w:b/>
          <w:sz w:val="24"/>
          <w:szCs w:val="24"/>
        </w:rPr>
      </w:pPr>
      <w:r w:rsidRPr="009D0BB8">
        <w:rPr>
          <w:rFonts w:ascii="Times New Roman" w:hAnsi="Times New Roman"/>
          <w:b/>
          <w:sz w:val="24"/>
          <w:szCs w:val="24"/>
        </w:rPr>
        <w:t>Bibliographie indicative :</w:t>
      </w:r>
    </w:p>
    <w:p w14:paraId="367893AB" w14:textId="77777777" w:rsidR="00C27931" w:rsidRPr="00C27931" w:rsidRDefault="009D0BB8" w:rsidP="005A3AA9">
      <w:pPr>
        <w:jc w:val="both"/>
        <w:rPr>
          <w:rFonts w:ascii="Times New Roman" w:hAnsi="Times New Roman"/>
          <w:sz w:val="24"/>
          <w:szCs w:val="24"/>
        </w:rPr>
      </w:pPr>
      <w:r w:rsidRPr="008D1DD4">
        <w:rPr>
          <w:rFonts w:ascii="Times New Roman" w:hAnsi="Times New Roman"/>
          <w:sz w:val="24"/>
          <w:szCs w:val="24"/>
        </w:rPr>
        <w:t xml:space="preserve">Agamben, </w:t>
      </w:r>
      <w:r w:rsidR="00C27931">
        <w:rPr>
          <w:rFonts w:ascii="Times New Roman" w:hAnsi="Times New Roman"/>
          <w:sz w:val="24"/>
          <w:szCs w:val="24"/>
        </w:rPr>
        <w:t xml:space="preserve">G. </w:t>
      </w:r>
      <w:r w:rsidR="005A3AA9">
        <w:rPr>
          <w:rFonts w:ascii="Times New Roman" w:hAnsi="Times New Roman"/>
          <w:sz w:val="24"/>
          <w:szCs w:val="24"/>
        </w:rPr>
        <w:t>(</w:t>
      </w:r>
      <w:r w:rsidRPr="008D1DD4">
        <w:rPr>
          <w:rFonts w:ascii="Times New Roman" w:hAnsi="Times New Roman"/>
          <w:sz w:val="24"/>
          <w:szCs w:val="24"/>
        </w:rPr>
        <w:t>2007</w:t>
      </w:r>
      <w:r w:rsidR="005A3AA9">
        <w:rPr>
          <w:rFonts w:ascii="Times New Roman" w:hAnsi="Times New Roman"/>
          <w:sz w:val="24"/>
          <w:szCs w:val="24"/>
        </w:rPr>
        <w:t>)</w:t>
      </w:r>
      <w:r w:rsidR="00C27931">
        <w:rPr>
          <w:rFonts w:ascii="Times New Roman" w:hAnsi="Times New Roman"/>
          <w:sz w:val="24"/>
          <w:szCs w:val="24"/>
        </w:rPr>
        <w:t>. Qu</w:t>
      </w:r>
      <w:r w:rsidR="006560A6">
        <w:rPr>
          <w:rFonts w:ascii="Times New Roman" w:hAnsi="Times New Roman"/>
          <w:sz w:val="24"/>
          <w:szCs w:val="24"/>
        </w:rPr>
        <w:t>’est-ce qu’</w:t>
      </w:r>
      <w:r w:rsidR="00C27931">
        <w:rPr>
          <w:rFonts w:ascii="Times New Roman" w:hAnsi="Times New Roman"/>
          <w:sz w:val="24"/>
          <w:szCs w:val="24"/>
        </w:rPr>
        <w:t>un dispositif</w:t>
      </w:r>
      <w:r w:rsidR="00501BA4">
        <w:rPr>
          <w:rFonts w:ascii="Times New Roman" w:hAnsi="Times New Roman"/>
          <w:sz w:val="24"/>
          <w:szCs w:val="24"/>
        </w:rPr>
        <w:t> ?</w:t>
      </w:r>
      <w:r w:rsidR="00C27931">
        <w:rPr>
          <w:rFonts w:ascii="Times New Roman" w:hAnsi="Times New Roman"/>
          <w:sz w:val="24"/>
          <w:szCs w:val="24"/>
        </w:rPr>
        <w:t xml:space="preserve"> Paris : Rivages</w:t>
      </w:r>
    </w:p>
    <w:p w14:paraId="4AC5E275" w14:textId="77777777" w:rsidR="00D03731" w:rsidRDefault="005A3AA9" w:rsidP="005A3AA9">
      <w:pPr>
        <w:spacing w:line="276" w:lineRule="auto"/>
        <w:jc w:val="both"/>
        <w:rPr>
          <w:rFonts w:ascii="Times New Roman" w:hAnsi="Times New Roman"/>
          <w:sz w:val="24"/>
          <w:szCs w:val="24"/>
        </w:rPr>
      </w:pPr>
      <w:r w:rsidRPr="005A3AA9">
        <w:rPr>
          <w:rFonts w:ascii="Times New Roman" w:hAnsi="Times New Roman"/>
          <w:sz w:val="24"/>
          <w:szCs w:val="24"/>
        </w:rPr>
        <w:t>Aït-Ali, C (2015)</w:t>
      </w:r>
      <w:r w:rsidRPr="005A3AA9">
        <w:rPr>
          <w:rFonts w:ascii="Times New Roman" w:hAnsi="Times New Roman"/>
          <w:color w:val="FF0000"/>
          <w:sz w:val="24"/>
          <w:szCs w:val="24"/>
        </w:rPr>
        <w:t xml:space="preserve"> </w:t>
      </w:r>
      <w:r w:rsidRPr="005A3AA9">
        <w:rPr>
          <w:rFonts w:ascii="Times New Roman" w:hAnsi="Times New Roman"/>
          <w:sz w:val="24"/>
          <w:szCs w:val="24"/>
        </w:rPr>
        <w:t xml:space="preserve">Les dispositifs hors classe, pour un accompagnement des élèves en difficulté. </w:t>
      </w:r>
      <w:r w:rsidRPr="005A3AA9">
        <w:rPr>
          <w:rFonts w:ascii="Times New Roman" w:hAnsi="Times New Roman"/>
          <w:i/>
          <w:sz w:val="24"/>
          <w:szCs w:val="24"/>
        </w:rPr>
        <w:t>La nouvelle revue de l’adaptation et de la scolarisation (</w:t>
      </w:r>
      <w:r>
        <w:rPr>
          <w:rFonts w:ascii="Times New Roman" w:hAnsi="Times New Roman"/>
          <w:i/>
          <w:sz w:val="24"/>
          <w:szCs w:val="24"/>
        </w:rPr>
        <w:t>n°</w:t>
      </w:r>
      <w:r w:rsidR="006560A6">
        <w:rPr>
          <w:rFonts w:ascii="Times New Roman" w:hAnsi="Times New Roman"/>
          <w:i/>
          <w:sz w:val="24"/>
          <w:szCs w:val="24"/>
        </w:rPr>
        <w:t> </w:t>
      </w:r>
      <w:r w:rsidRPr="005A3AA9">
        <w:rPr>
          <w:rFonts w:ascii="Times New Roman" w:hAnsi="Times New Roman"/>
          <w:i/>
          <w:sz w:val="24"/>
          <w:szCs w:val="24"/>
        </w:rPr>
        <w:t>70-71)</w:t>
      </w:r>
      <w:r w:rsidRPr="005A3AA9">
        <w:rPr>
          <w:rFonts w:ascii="Times New Roman" w:hAnsi="Times New Roman"/>
          <w:sz w:val="24"/>
          <w:szCs w:val="24"/>
        </w:rPr>
        <w:t xml:space="preserve">, </w:t>
      </w:r>
      <w:r>
        <w:rPr>
          <w:rFonts w:ascii="Times New Roman" w:hAnsi="Times New Roman"/>
          <w:sz w:val="24"/>
          <w:szCs w:val="24"/>
        </w:rPr>
        <w:t>p</w:t>
      </w:r>
      <w:r w:rsidRPr="005A3AA9">
        <w:rPr>
          <w:rFonts w:ascii="Times New Roman" w:hAnsi="Times New Roman"/>
          <w:sz w:val="24"/>
          <w:szCs w:val="24"/>
        </w:rPr>
        <w:t>209-221</w:t>
      </w:r>
    </w:p>
    <w:p w14:paraId="248D8C74" w14:textId="77777777" w:rsidR="005A3AA9" w:rsidRPr="005A3AA9" w:rsidRDefault="005A3AA9" w:rsidP="005A3AA9">
      <w:pPr>
        <w:spacing w:line="276" w:lineRule="auto"/>
        <w:jc w:val="both"/>
        <w:rPr>
          <w:rFonts w:ascii="Times New Roman" w:hAnsi="Times New Roman"/>
          <w:sz w:val="24"/>
          <w:szCs w:val="24"/>
        </w:rPr>
      </w:pPr>
      <w:r w:rsidRPr="005A3AA9">
        <w:rPr>
          <w:rFonts w:ascii="Times New Roman" w:hAnsi="Times New Roman"/>
          <w:sz w:val="24"/>
          <w:szCs w:val="24"/>
        </w:rPr>
        <w:t xml:space="preserve">Aït-Ali, C (2016). Le PEDT, un tiers espace éducatif. In Gurnade, M-M &amp; Aït-Ali, C (Ed) </w:t>
      </w:r>
      <w:r w:rsidRPr="005A3AA9">
        <w:rPr>
          <w:rFonts w:ascii="Times New Roman" w:hAnsi="Times New Roman"/>
          <w:i/>
          <w:sz w:val="24"/>
          <w:szCs w:val="24"/>
        </w:rPr>
        <w:t>Jeunesses sans parole, Jeunesse (s) en parole.</w:t>
      </w:r>
      <w:r w:rsidRPr="005A3AA9">
        <w:rPr>
          <w:rFonts w:ascii="Times New Roman" w:hAnsi="Times New Roman"/>
          <w:sz w:val="24"/>
          <w:szCs w:val="24"/>
        </w:rPr>
        <w:t xml:space="preserve"> Paris : L’Harmattan</w:t>
      </w:r>
      <w:r>
        <w:rPr>
          <w:rFonts w:ascii="Times New Roman" w:hAnsi="Times New Roman"/>
          <w:sz w:val="24"/>
          <w:szCs w:val="24"/>
        </w:rPr>
        <w:t xml:space="preserve"> (à paraître)</w:t>
      </w:r>
    </w:p>
    <w:p w14:paraId="655211D5" w14:textId="77777777" w:rsidR="009D0BB8" w:rsidRPr="00DD46F3" w:rsidRDefault="009D0BB8" w:rsidP="005A3AA9">
      <w:pPr>
        <w:jc w:val="both"/>
        <w:rPr>
          <w:rFonts w:ascii="Times New Roman" w:hAnsi="Times New Roman"/>
          <w:sz w:val="24"/>
          <w:szCs w:val="24"/>
        </w:rPr>
      </w:pPr>
      <w:r w:rsidRPr="00DD46F3">
        <w:rPr>
          <w:rFonts w:ascii="Times New Roman" w:hAnsi="Times New Roman"/>
          <w:sz w:val="24"/>
          <w:szCs w:val="24"/>
        </w:rPr>
        <w:t xml:space="preserve">Albero, </w:t>
      </w:r>
      <w:r w:rsidR="00DD46F3" w:rsidRPr="00DD46F3">
        <w:rPr>
          <w:rFonts w:ascii="Times New Roman" w:hAnsi="Times New Roman"/>
          <w:sz w:val="24"/>
          <w:szCs w:val="24"/>
        </w:rPr>
        <w:t>B. (</w:t>
      </w:r>
      <w:r w:rsidRPr="00DD46F3">
        <w:rPr>
          <w:rFonts w:ascii="Times New Roman" w:hAnsi="Times New Roman"/>
          <w:sz w:val="24"/>
          <w:szCs w:val="24"/>
        </w:rPr>
        <w:t>2010</w:t>
      </w:r>
      <w:r w:rsidR="00DD46F3" w:rsidRPr="00DD46F3">
        <w:rPr>
          <w:rFonts w:ascii="Times New Roman" w:hAnsi="Times New Roman"/>
          <w:sz w:val="24"/>
          <w:szCs w:val="24"/>
        </w:rPr>
        <w:t xml:space="preserve">). De l’idéel au vécu : le dispositif confronté à ses pratiques, </w:t>
      </w:r>
      <w:r w:rsidR="00DD46F3">
        <w:rPr>
          <w:rFonts w:ascii="Times New Roman" w:hAnsi="Times New Roman"/>
          <w:sz w:val="24"/>
          <w:szCs w:val="24"/>
        </w:rPr>
        <w:t>in</w:t>
      </w:r>
      <w:r w:rsidR="00DD46F3" w:rsidRPr="00DD46F3">
        <w:rPr>
          <w:rFonts w:ascii="Times New Roman" w:hAnsi="Times New Roman"/>
          <w:sz w:val="24"/>
          <w:szCs w:val="24"/>
        </w:rPr>
        <w:t xml:space="preserve"> B. Albero, N.</w:t>
      </w:r>
      <w:r w:rsidR="005A3AA9">
        <w:rPr>
          <w:rFonts w:ascii="Times New Roman" w:hAnsi="Times New Roman"/>
          <w:sz w:val="24"/>
          <w:szCs w:val="24"/>
        </w:rPr>
        <w:t xml:space="preserve"> </w:t>
      </w:r>
      <w:r w:rsidR="00DD46F3" w:rsidRPr="00DD46F3">
        <w:rPr>
          <w:rFonts w:ascii="Times New Roman" w:hAnsi="Times New Roman"/>
          <w:sz w:val="24"/>
          <w:szCs w:val="24"/>
        </w:rPr>
        <w:t xml:space="preserve">Poteaux, </w:t>
      </w:r>
      <w:r w:rsidR="00DD46F3" w:rsidRPr="00DD46F3">
        <w:rPr>
          <w:rStyle w:val="Accentuation"/>
          <w:rFonts w:ascii="Times New Roman" w:hAnsi="Times New Roman"/>
          <w:sz w:val="24"/>
          <w:szCs w:val="24"/>
        </w:rPr>
        <w:t xml:space="preserve">Enjeux et dilemmes de l’autonomie. Une expérience d’autoformation à l’université. </w:t>
      </w:r>
      <w:r w:rsidR="00501BA4">
        <w:rPr>
          <w:rStyle w:val="Accentuation"/>
          <w:rFonts w:ascii="Times New Roman" w:hAnsi="Times New Roman"/>
          <w:sz w:val="24"/>
          <w:szCs w:val="24"/>
        </w:rPr>
        <w:t>É</w:t>
      </w:r>
      <w:r w:rsidR="00DD46F3" w:rsidRPr="00DD46F3">
        <w:rPr>
          <w:rStyle w:val="Accentuation"/>
          <w:rFonts w:ascii="Times New Roman" w:hAnsi="Times New Roman"/>
          <w:sz w:val="24"/>
          <w:szCs w:val="24"/>
        </w:rPr>
        <w:t>tude de cas</w:t>
      </w:r>
      <w:r w:rsidR="00DD46F3" w:rsidRPr="00DD46F3">
        <w:rPr>
          <w:rFonts w:ascii="Times New Roman" w:hAnsi="Times New Roman"/>
          <w:sz w:val="24"/>
          <w:szCs w:val="24"/>
        </w:rPr>
        <w:t>. Paris : Les éditions de la Maison des Sciences de l’Homme, coll. praTICs.</w:t>
      </w:r>
    </w:p>
    <w:p w14:paraId="18831476" w14:textId="77777777" w:rsidR="00DD46F3" w:rsidRDefault="00DD46F3" w:rsidP="005A3AA9">
      <w:pPr>
        <w:spacing w:after="0" w:line="240" w:lineRule="auto"/>
        <w:jc w:val="both"/>
        <w:rPr>
          <w:rFonts w:ascii="Times New Roman" w:eastAsia="Times New Roman" w:hAnsi="Times New Roman"/>
          <w:sz w:val="24"/>
          <w:szCs w:val="24"/>
          <w:lang w:eastAsia="fr-FR"/>
        </w:rPr>
      </w:pPr>
      <w:r w:rsidRPr="00DD46F3">
        <w:rPr>
          <w:rFonts w:ascii="Times New Roman" w:eastAsia="Times New Roman" w:hAnsi="Times New Roman"/>
          <w:sz w:val="24"/>
          <w:szCs w:val="24"/>
          <w:lang w:eastAsia="fr-FR"/>
        </w:rPr>
        <w:t>Audran, J. (Coor.). (2007). Dispositifs et situations</w:t>
      </w:r>
      <w:r w:rsidR="006560A6">
        <w:rPr>
          <w:rFonts w:ascii="Times New Roman" w:eastAsia="Times New Roman" w:hAnsi="Times New Roman"/>
          <w:sz w:val="24"/>
          <w:szCs w:val="24"/>
          <w:lang w:eastAsia="fr-FR"/>
        </w:rPr>
        <w:t> </w:t>
      </w:r>
      <w:r w:rsidRPr="00DD46F3">
        <w:rPr>
          <w:rFonts w:ascii="Times New Roman" w:eastAsia="Times New Roman" w:hAnsi="Times New Roman"/>
          <w:sz w:val="24"/>
          <w:szCs w:val="24"/>
          <w:lang w:eastAsia="fr-FR"/>
        </w:rPr>
        <w:t>: quelles articulations en éducation</w:t>
      </w:r>
      <w:r w:rsidR="006560A6">
        <w:rPr>
          <w:rFonts w:ascii="Times New Roman" w:eastAsia="Times New Roman" w:hAnsi="Times New Roman"/>
          <w:sz w:val="24"/>
          <w:szCs w:val="24"/>
          <w:lang w:eastAsia="fr-FR"/>
        </w:rPr>
        <w:t> </w:t>
      </w:r>
      <w:r w:rsidRPr="00DD46F3">
        <w:rPr>
          <w:rFonts w:ascii="Times New Roman" w:eastAsia="Times New Roman" w:hAnsi="Times New Roman"/>
          <w:sz w:val="24"/>
          <w:szCs w:val="24"/>
          <w:lang w:eastAsia="fr-FR"/>
        </w:rPr>
        <w:t xml:space="preserve">? </w:t>
      </w:r>
      <w:r w:rsidRPr="00DD46F3">
        <w:rPr>
          <w:rFonts w:ascii="Times New Roman" w:eastAsia="Times New Roman" w:hAnsi="Times New Roman"/>
          <w:i/>
          <w:sz w:val="24"/>
          <w:szCs w:val="24"/>
          <w:lang w:eastAsia="fr-FR"/>
        </w:rPr>
        <w:t>Questions vives.</w:t>
      </w:r>
      <w:r w:rsidRPr="00DD46F3">
        <w:rPr>
          <w:rFonts w:ascii="Times New Roman" w:eastAsia="Times New Roman" w:hAnsi="Times New Roman"/>
          <w:sz w:val="24"/>
          <w:szCs w:val="24"/>
          <w:lang w:eastAsia="fr-FR"/>
        </w:rPr>
        <w:t xml:space="preserve"> Vol. 4, n°</w:t>
      </w:r>
      <w:r w:rsidR="006560A6">
        <w:rPr>
          <w:rFonts w:ascii="Times New Roman" w:eastAsia="Times New Roman" w:hAnsi="Times New Roman"/>
          <w:sz w:val="24"/>
          <w:szCs w:val="24"/>
          <w:lang w:eastAsia="fr-FR"/>
        </w:rPr>
        <w:t> </w:t>
      </w:r>
      <w:r w:rsidRPr="00DD46F3">
        <w:rPr>
          <w:rFonts w:ascii="Times New Roman" w:eastAsia="Times New Roman" w:hAnsi="Times New Roman"/>
          <w:sz w:val="24"/>
          <w:szCs w:val="24"/>
          <w:lang w:eastAsia="fr-FR"/>
        </w:rPr>
        <w:t>8, 144 p.</w:t>
      </w:r>
    </w:p>
    <w:p w14:paraId="77B4C4E9" w14:textId="77777777" w:rsidR="00DD46F3" w:rsidRPr="00DD46F3" w:rsidRDefault="00DD46F3" w:rsidP="005A3AA9">
      <w:pPr>
        <w:spacing w:after="0" w:line="240" w:lineRule="auto"/>
        <w:jc w:val="both"/>
        <w:rPr>
          <w:rFonts w:ascii="Times New Roman" w:eastAsia="Times New Roman" w:hAnsi="Times New Roman"/>
          <w:sz w:val="24"/>
          <w:szCs w:val="24"/>
          <w:lang w:eastAsia="fr-FR"/>
        </w:rPr>
      </w:pPr>
      <w:r w:rsidRPr="00DD46F3">
        <w:rPr>
          <w:rFonts w:ascii="Times New Roman" w:eastAsia="Times New Roman" w:hAnsi="Times New Roman"/>
          <w:sz w:val="24"/>
          <w:szCs w:val="24"/>
          <w:lang w:eastAsia="fr-FR"/>
        </w:rPr>
        <w:t xml:space="preserve"> </w:t>
      </w:r>
    </w:p>
    <w:p w14:paraId="6CF31AE0" w14:textId="77777777" w:rsidR="00521643" w:rsidRPr="005A3AA9" w:rsidRDefault="009D0BB8" w:rsidP="005A3AA9">
      <w:pPr>
        <w:jc w:val="both"/>
        <w:rPr>
          <w:rFonts w:ascii="Times New Roman" w:hAnsi="Times New Roman"/>
          <w:sz w:val="24"/>
          <w:szCs w:val="24"/>
        </w:rPr>
      </w:pPr>
      <w:r w:rsidRPr="005A3AA9">
        <w:rPr>
          <w:rFonts w:ascii="Times New Roman" w:hAnsi="Times New Roman"/>
          <w:sz w:val="24"/>
          <w:szCs w:val="24"/>
        </w:rPr>
        <w:lastRenderedPageBreak/>
        <w:t xml:space="preserve">Barrère, </w:t>
      </w:r>
      <w:r w:rsidR="00DD46F3" w:rsidRPr="005A3AA9">
        <w:rPr>
          <w:rFonts w:ascii="Times New Roman" w:hAnsi="Times New Roman"/>
          <w:sz w:val="24"/>
          <w:szCs w:val="24"/>
        </w:rPr>
        <w:t>A. (</w:t>
      </w:r>
      <w:r w:rsidRPr="005A3AA9">
        <w:rPr>
          <w:rFonts w:ascii="Times New Roman" w:hAnsi="Times New Roman"/>
          <w:sz w:val="24"/>
          <w:szCs w:val="24"/>
        </w:rPr>
        <w:t>2013</w:t>
      </w:r>
      <w:r w:rsidR="00DD46F3" w:rsidRPr="005A3AA9">
        <w:rPr>
          <w:rFonts w:ascii="Times New Roman" w:hAnsi="Times New Roman"/>
          <w:sz w:val="24"/>
          <w:szCs w:val="24"/>
        </w:rPr>
        <w:t>).</w:t>
      </w:r>
      <w:r w:rsidRPr="005A3AA9">
        <w:rPr>
          <w:rFonts w:ascii="Times New Roman" w:hAnsi="Times New Roman"/>
          <w:sz w:val="24"/>
          <w:szCs w:val="24"/>
        </w:rPr>
        <w:t xml:space="preserve"> </w:t>
      </w:r>
      <w:r w:rsidR="00DD46F3" w:rsidRPr="005A3AA9">
        <w:rPr>
          <w:rFonts w:ascii="Times New Roman" w:hAnsi="Times New Roman"/>
          <w:sz w:val="24"/>
          <w:szCs w:val="24"/>
        </w:rPr>
        <w:t>Les établissements scolaires à l’heure des «</w:t>
      </w:r>
      <w:r w:rsidR="006560A6">
        <w:rPr>
          <w:rFonts w:ascii="Times New Roman" w:hAnsi="Times New Roman"/>
          <w:sz w:val="24"/>
          <w:szCs w:val="24"/>
        </w:rPr>
        <w:t> </w:t>
      </w:r>
      <w:r w:rsidR="00DD46F3" w:rsidRPr="005A3AA9">
        <w:rPr>
          <w:rFonts w:ascii="Times New Roman" w:hAnsi="Times New Roman"/>
          <w:sz w:val="24"/>
          <w:szCs w:val="24"/>
        </w:rPr>
        <w:t>dispositifs</w:t>
      </w:r>
      <w:r w:rsidR="006560A6">
        <w:rPr>
          <w:rFonts w:ascii="Times New Roman" w:hAnsi="Times New Roman"/>
          <w:sz w:val="24"/>
          <w:szCs w:val="24"/>
        </w:rPr>
        <w:t> </w:t>
      </w:r>
      <w:r w:rsidR="00DD46F3" w:rsidRPr="005A3AA9">
        <w:rPr>
          <w:rFonts w:ascii="Times New Roman" w:hAnsi="Times New Roman"/>
          <w:sz w:val="24"/>
          <w:szCs w:val="24"/>
        </w:rPr>
        <w:t xml:space="preserve">». </w:t>
      </w:r>
      <w:r w:rsidR="00DD46F3" w:rsidRPr="005A3AA9">
        <w:rPr>
          <w:rFonts w:ascii="Times New Roman" w:hAnsi="Times New Roman"/>
          <w:i/>
          <w:sz w:val="24"/>
          <w:szCs w:val="24"/>
        </w:rPr>
        <w:t>Carrefours de l</w:t>
      </w:r>
      <w:r w:rsidR="006560A6">
        <w:rPr>
          <w:rFonts w:ascii="Times New Roman" w:hAnsi="Times New Roman"/>
          <w:i/>
          <w:sz w:val="24"/>
          <w:szCs w:val="24"/>
        </w:rPr>
        <w:t>’</w:t>
      </w:r>
      <w:r w:rsidR="00DD46F3" w:rsidRPr="005A3AA9">
        <w:rPr>
          <w:rFonts w:ascii="Times New Roman" w:hAnsi="Times New Roman"/>
          <w:i/>
          <w:sz w:val="24"/>
          <w:szCs w:val="24"/>
        </w:rPr>
        <w:t>éducation</w:t>
      </w:r>
      <w:r w:rsidR="006560A6">
        <w:rPr>
          <w:rFonts w:ascii="Times New Roman" w:hAnsi="Times New Roman"/>
          <w:i/>
          <w:sz w:val="24"/>
          <w:szCs w:val="24"/>
        </w:rPr>
        <w:t> </w:t>
      </w:r>
      <w:r w:rsidR="00DD46F3" w:rsidRPr="005A3AA9">
        <w:rPr>
          <w:rFonts w:ascii="Times New Roman" w:hAnsi="Times New Roman"/>
          <w:sz w:val="24"/>
          <w:szCs w:val="24"/>
        </w:rPr>
        <w:t>2013/2 (n°</w:t>
      </w:r>
      <w:r w:rsidR="006560A6">
        <w:rPr>
          <w:rFonts w:ascii="Times New Roman" w:hAnsi="Times New Roman"/>
          <w:sz w:val="24"/>
          <w:szCs w:val="24"/>
        </w:rPr>
        <w:t> </w:t>
      </w:r>
      <w:r w:rsidR="00DD46F3" w:rsidRPr="005A3AA9">
        <w:rPr>
          <w:rFonts w:ascii="Times New Roman" w:hAnsi="Times New Roman"/>
          <w:sz w:val="24"/>
          <w:szCs w:val="24"/>
        </w:rPr>
        <w:t xml:space="preserve">36). </w:t>
      </w:r>
    </w:p>
    <w:p w14:paraId="455AE382" w14:textId="77777777" w:rsidR="009D0BB8" w:rsidRPr="008D1DD4" w:rsidRDefault="009D0BB8" w:rsidP="005A3AA9">
      <w:pPr>
        <w:jc w:val="both"/>
        <w:rPr>
          <w:rFonts w:ascii="Times New Roman" w:hAnsi="Times New Roman"/>
          <w:sz w:val="24"/>
          <w:szCs w:val="24"/>
        </w:rPr>
      </w:pPr>
      <w:r w:rsidRPr="008D1DD4">
        <w:rPr>
          <w:rFonts w:ascii="Times New Roman" w:hAnsi="Times New Roman"/>
          <w:sz w:val="24"/>
          <w:szCs w:val="24"/>
        </w:rPr>
        <w:t xml:space="preserve">Belin, </w:t>
      </w:r>
      <w:r w:rsidR="00C27931">
        <w:rPr>
          <w:rFonts w:ascii="Times New Roman" w:hAnsi="Times New Roman"/>
          <w:sz w:val="24"/>
          <w:szCs w:val="24"/>
        </w:rPr>
        <w:t xml:space="preserve">E. </w:t>
      </w:r>
      <w:r w:rsidR="00DD46F3">
        <w:rPr>
          <w:rFonts w:ascii="Times New Roman" w:hAnsi="Times New Roman"/>
          <w:sz w:val="24"/>
          <w:szCs w:val="24"/>
        </w:rPr>
        <w:t>(</w:t>
      </w:r>
      <w:r w:rsidRPr="008D1DD4">
        <w:rPr>
          <w:rFonts w:ascii="Times New Roman" w:hAnsi="Times New Roman"/>
          <w:sz w:val="24"/>
          <w:szCs w:val="24"/>
        </w:rPr>
        <w:t>2001</w:t>
      </w:r>
      <w:r w:rsidR="00DD46F3">
        <w:rPr>
          <w:rFonts w:ascii="Times New Roman" w:hAnsi="Times New Roman"/>
          <w:sz w:val="24"/>
          <w:szCs w:val="24"/>
        </w:rPr>
        <w:t>)</w:t>
      </w:r>
      <w:r w:rsidR="00C27931">
        <w:rPr>
          <w:rFonts w:ascii="Times New Roman" w:hAnsi="Times New Roman"/>
          <w:sz w:val="24"/>
          <w:szCs w:val="24"/>
        </w:rPr>
        <w:t>. Une sociologie des espaces potentiels : logique dispositive et expérience ordinaire. Bruxelles : De Boeck Université.</w:t>
      </w:r>
    </w:p>
    <w:p w14:paraId="4AD6CDDD" w14:textId="77777777" w:rsidR="009D0BB8" w:rsidRPr="005A3AA9" w:rsidRDefault="009D0BB8" w:rsidP="005A3AA9">
      <w:pPr>
        <w:jc w:val="both"/>
        <w:rPr>
          <w:rFonts w:ascii="Times New Roman" w:hAnsi="Times New Roman"/>
        </w:rPr>
      </w:pPr>
      <w:r w:rsidRPr="005A3AA9">
        <w:rPr>
          <w:rFonts w:ascii="Times New Roman" w:hAnsi="Times New Roman"/>
          <w:sz w:val="24"/>
          <w:szCs w:val="24"/>
        </w:rPr>
        <w:t>Castoriadis</w:t>
      </w:r>
      <w:r w:rsidR="00135408" w:rsidRPr="005A3AA9">
        <w:rPr>
          <w:rFonts w:ascii="Times New Roman" w:hAnsi="Times New Roman"/>
          <w:sz w:val="24"/>
          <w:szCs w:val="24"/>
        </w:rPr>
        <w:t>.</w:t>
      </w:r>
      <w:r w:rsidRPr="005A3AA9">
        <w:rPr>
          <w:rFonts w:ascii="Times New Roman" w:hAnsi="Times New Roman"/>
          <w:sz w:val="24"/>
          <w:szCs w:val="24"/>
        </w:rPr>
        <w:t xml:space="preserve"> </w:t>
      </w:r>
      <w:r w:rsidR="00135408" w:rsidRPr="005A3AA9">
        <w:rPr>
          <w:rFonts w:ascii="Times New Roman" w:hAnsi="Times New Roman"/>
          <w:sz w:val="24"/>
          <w:szCs w:val="24"/>
        </w:rPr>
        <w:t>(</w:t>
      </w:r>
      <w:r w:rsidR="005A3AA9" w:rsidRPr="005A3AA9">
        <w:rPr>
          <w:rFonts w:ascii="Times New Roman" w:hAnsi="Times New Roman"/>
          <w:sz w:val="24"/>
          <w:szCs w:val="24"/>
        </w:rPr>
        <w:t>1975</w:t>
      </w:r>
      <w:r w:rsidR="00135408" w:rsidRPr="005A3AA9">
        <w:rPr>
          <w:rFonts w:ascii="Times New Roman" w:hAnsi="Times New Roman"/>
          <w:sz w:val="24"/>
          <w:szCs w:val="24"/>
        </w:rPr>
        <w:t>)</w:t>
      </w:r>
      <w:r w:rsidR="005A3AA9" w:rsidRPr="005A3AA9">
        <w:rPr>
          <w:rFonts w:ascii="Times New Roman" w:hAnsi="Times New Roman"/>
          <w:sz w:val="24"/>
          <w:szCs w:val="24"/>
        </w:rPr>
        <w:t xml:space="preserve"> L’institution imaginaire de la société. Paris : </w:t>
      </w:r>
      <w:r w:rsidR="00501BA4">
        <w:rPr>
          <w:rFonts w:ascii="Times New Roman" w:hAnsi="Times New Roman"/>
          <w:sz w:val="24"/>
          <w:szCs w:val="24"/>
        </w:rPr>
        <w:t>É</w:t>
      </w:r>
      <w:r w:rsidR="005A3AA9" w:rsidRPr="005A3AA9">
        <w:rPr>
          <w:rFonts w:ascii="Times New Roman" w:hAnsi="Times New Roman"/>
          <w:sz w:val="24"/>
          <w:szCs w:val="24"/>
        </w:rPr>
        <w:t>ditions du Seuil</w:t>
      </w:r>
    </w:p>
    <w:p w14:paraId="2DA476BF" w14:textId="77777777" w:rsidR="00D03731" w:rsidRPr="003332CF" w:rsidRDefault="00D03731" w:rsidP="005A3AA9">
      <w:pPr>
        <w:jc w:val="both"/>
        <w:rPr>
          <w:rFonts w:ascii="Times New Roman" w:hAnsi="Times New Roman"/>
          <w:sz w:val="24"/>
          <w:szCs w:val="24"/>
        </w:rPr>
      </w:pPr>
      <w:r w:rsidRPr="003332CF">
        <w:rPr>
          <w:rFonts w:ascii="Times New Roman" w:hAnsi="Times New Roman"/>
          <w:sz w:val="24"/>
          <w:szCs w:val="24"/>
        </w:rPr>
        <w:t>Couzinet, V.</w:t>
      </w:r>
      <w:r w:rsidR="003332CF" w:rsidRPr="003332CF">
        <w:rPr>
          <w:rFonts w:ascii="Times New Roman" w:hAnsi="Times New Roman"/>
          <w:sz w:val="24"/>
          <w:szCs w:val="24"/>
        </w:rPr>
        <w:t xml:space="preserve"> (Dir.)</w:t>
      </w:r>
      <w:r w:rsidRPr="003332CF">
        <w:rPr>
          <w:rFonts w:ascii="Times New Roman" w:hAnsi="Times New Roman"/>
          <w:sz w:val="24"/>
          <w:szCs w:val="24"/>
        </w:rPr>
        <w:t xml:space="preserve"> </w:t>
      </w:r>
      <w:r w:rsidR="003332CF" w:rsidRPr="003332CF">
        <w:rPr>
          <w:rFonts w:ascii="Times New Roman" w:hAnsi="Times New Roman"/>
          <w:sz w:val="24"/>
          <w:szCs w:val="24"/>
        </w:rPr>
        <w:t>(2009). Dispositifs info-communicationnels</w:t>
      </w:r>
      <w:r w:rsidR="006560A6">
        <w:rPr>
          <w:rFonts w:ascii="Times New Roman" w:hAnsi="Times New Roman"/>
          <w:sz w:val="24"/>
          <w:szCs w:val="24"/>
        </w:rPr>
        <w:t> </w:t>
      </w:r>
      <w:r w:rsidR="003332CF" w:rsidRPr="003332CF">
        <w:rPr>
          <w:rFonts w:ascii="Times New Roman" w:hAnsi="Times New Roman"/>
          <w:sz w:val="24"/>
          <w:szCs w:val="24"/>
        </w:rPr>
        <w:t>: questions de médiations documentaires. Paris</w:t>
      </w:r>
      <w:r w:rsidR="006560A6">
        <w:rPr>
          <w:rFonts w:ascii="Times New Roman" w:hAnsi="Times New Roman"/>
          <w:sz w:val="24"/>
          <w:szCs w:val="24"/>
        </w:rPr>
        <w:t> </w:t>
      </w:r>
      <w:r w:rsidR="003332CF" w:rsidRPr="003332CF">
        <w:rPr>
          <w:rFonts w:ascii="Times New Roman" w:hAnsi="Times New Roman"/>
          <w:sz w:val="24"/>
          <w:szCs w:val="24"/>
        </w:rPr>
        <w:t>: Lavoisier ; Hermès Science publications.</w:t>
      </w:r>
    </w:p>
    <w:p w14:paraId="196C409A" w14:textId="77777777" w:rsidR="003332CF" w:rsidRDefault="003332CF" w:rsidP="005A3AA9">
      <w:pPr>
        <w:jc w:val="both"/>
        <w:rPr>
          <w:rFonts w:ascii="Times New Roman" w:hAnsi="Times New Roman"/>
          <w:sz w:val="24"/>
          <w:szCs w:val="24"/>
        </w:rPr>
      </w:pPr>
      <w:r w:rsidRPr="003332CF">
        <w:rPr>
          <w:rFonts w:ascii="Times New Roman" w:hAnsi="Times New Roman"/>
          <w:sz w:val="24"/>
          <w:szCs w:val="24"/>
        </w:rPr>
        <w:t xml:space="preserve">Fabre, I. </w:t>
      </w:r>
      <w:r>
        <w:rPr>
          <w:rFonts w:ascii="Times New Roman" w:hAnsi="Times New Roman"/>
          <w:sz w:val="24"/>
          <w:szCs w:val="24"/>
        </w:rPr>
        <w:t>(</w:t>
      </w:r>
      <w:r w:rsidRPr="003332CF">
        <w:rPr>
          <w:rFonts w:ascii="Times New Roman" w:hAnsi="Times New Roman"/>
          <w:sz w:val="24"/>
          <w:szCs w:val="24"/>
        </w:rPr>
        <w:t>2009</w:t>
      </w:r>
      <w:r>
        <w:rPr>
          <w:rFonts w:ascii="Times New Roman" w:hAnsi="Times New Roman"/>
          <w:sz w:val="24"/>
          <w:szCs w:val="24"/>
        </w:rPr>
        <w:t>)</w:t>
      </w:r>
      <w:r w:rsidRPr="003332CF">
        <w:rPr>
          <w:rFonts w:ascii="Times New Roman" w:hAnsi="Times New Roman"/>
          <w:sz w:val="24"/>
          <w:szCs w:val="24"/>
        </w:rPr>
        <w:t xml:space="preserve">. Capacité du dispositif documentaire à révéler son rôle d’accompagnement. </w:t>
      </w:r>
      <w:r w:rsidRPr="003332CF">
        <w:rPr>
          <w:rFonts w:ascii="Times New Roman" w:hAnsi="Times New Roman"/>
          <w:i/>
          <w:sz w:val="24"/>
          <w:szCs w:val="24"/>
        </w:rPr>
        <w:t>Cahiers d’esquisse</w:t>
      </w:r>
      <w:r w:rsidRPr="003332CF">
        <w:rPr>
          <w:rFonts w:ascii="Times New Roman" w:hAnsi="Times New Roman"/>
          <w:sz w:val="24"/>
          <w:szCs w:val="24"/>
        </w:rPr>
        <w:t>, janvier, n°</w:t>
      </w:r>
      <w:r w:rsidR="006560A6">
        <w:rPr>
          <w:rFonts w:ascii="Times New Roman" w:hAnsi="Times New Roman"/>
          <w:sz w:val="24"/>
          <w:szCs w:val="24"/>
        </w:rPr>
        <w:t> </w:t>
      </w:r>
      <w:r w:rsidRPr="003332CF">
        <w:rPr>
          <w:rFonts w:ascii="Times New Roman" w:hAnsi="Times New Roman"/>
          <w:sz w:val="24"/>
          <w:szCs w:val="24"/>
        </w:rPr>
        <w:t>52-53</w:t>
      </w:r>
      <w:r>
        <w:rPr>
          <w:rFonts w:ascii="Times New Roman" w:hAnsi="Times New Roman"/>
          <w:sz w:val="24"/>
          <w:szCs w:val="24"/>
        </w:rPr>
        <w:t>.</w:t>
      </w:r>
    </w:p>
    <w:p w14:paraId="68F704CC" w14:textId="77777777" w:rsidR="006C67A7" w:rsidRPr="006C67A7" w:rsidRDefault="006C67A7" w:rsidP="005A3AA9">
      <w:pPr>
        <w:jc w:val="both"/>
        <w:rPr>
          <w:rFonts w:ascii="Times New Roman" w:hAnsi="Times New Roman"/>
          <w:sz w:val="24"/>
          <w:szCs w:val="24"/>
          <w:lang w:val="en-US"/>
        </w:rPr>
      </w:pPr>
      <w:r w:rsidRPr="006C67A7">
        <w:rPr>
          <w:rFonts w:ascii="Times New Roman" w:hAnsi="Times New Roman"/>
          <w:sz w:val="24"/>
          <w:szCs w:val="24"/>
        </w:rPr>
        <w:t>Fabre, I. (2012). Espace et dispositif d’organisation des savoirs</w:t>
      </w:r>
      <w:r w:rsidR="006560A6">
        <w:rPr>
          <w:rFonts w:ascii="Times New Roman" w:hAnsi="Times New Roman"/>
          <w:sz w:val="24"/>
          <w:szCs w:val="24"/>
        </w:rPr>
        <w:t> </w:t>
      </w:r>
      <w:r w:rsidRPr="006C67A7">
        <w:rPr>
          <w:rFonts w:ascii="Times New Roman" w:hAnsi="Times New Roman"/>
          <w:sz w:val="24"/>
          <w:szCs w:val="24"/>
        </w:rPr>
        <w:t xml:space="preserve">: vers une approche sensible. In </w:t>
      </w:r>
      <w:r w:rsidRPr="006C67A7">
        <w:rPr>
          <w:rFonts w:ascii="Times New Roman" w:hAnsi="Times New Roman"/>
          <w:i/>
          <w:sz w:val="24"/>
          <w:szCs w:val="24"/>
        </w:rPr>
        <w:t>2e Journée Scientifique Internationale du Réseau MUSSI Réseaux et processus info-communicationnels</w:t>
      </w:r>
      <w:r w:rsidR="006560A6">
        <w:rPr>
          <w:rFonts w:ascii="Times New Roman" w:hAnsi="Times New Roman"/>
          <w:i/>
          <w:sz w:val="24"/>
          <w:szCs w:val="24"/>
        </w:rPr>
        <w:t> </w:t>
      </w:r>
      <w:r w:rsidRPr="006C67A7">
        <w:rPr>
          <w:rFonts w:ascii="Times New Roman" w:hAnsi="Times New Roman"/>
          <w:i/>
          <w:sz w:val="24"/>
          <w:szCs w:val="24"/>
        </w:rPr>
        <w:t>: médiations, mémoires, appropriations</w:t>
      </w:r>
      <w:r w:rsidRPr="006C67A7">
        <w:rPr>
          <w:rFonts w:ascii="Times New Roman" w:hAnsi="Times New Roman"/>
          <w:sz w:val="24"/>
          <w:szCs w:val="24"/>
        </w:rPr>
        <w:t xml:space="preserve">. </w:t>
      </w:r>
      <w:r w:rsidRPr="006C67A7">
        <w:rPr>
          <w:rFonts w:ascii="Times New Roman" w:hAnsi="Times New Roman"/>
          <w:sz w:val="24"/>
          <w:szCs w:val="24"/>
          <w:lang w:val="en-US"/>
        </w:rPr>
        <w:t>23-24-25 octobre 2012, Universidade Federal do Estado do Rio de Janeiro, p.</w:t>
      </w:r>
      <w:r w:rsidR="006560A6">
        <w:rPr>
          <w:rFonts w:ascii="Times New Roman" w:hAnsi="Times New Roman"/>
          <w:sz w:val="24"/>
          <w:szCs w:val="24"/>
          <w:lang w:val="en-US"/>
        </w:rPr>
        <w:t> </w:t>
      </w:r>
      <w:r w:rsidRPr="006C67A7">
        <w:rPr>
          <w:rFonts w:ascii="Times New Roman" w:hAnsi="Times New Roman"/>
          <w:sz w:val="24"/>
          <w:szCs w:val="24"/>
          <w:lang w:val="en-US"/>
        </w:rPr>
        <w:t>115-130</w:t>
      </w:r>
      <w:r>
        <w:rPr>
          <w:rFonts w:ascii="Times New Roman" w:hAnsi="Times New Roman"/>
          <w:sz w:val="24"/>
          <w:szCs w:val="24"/>
          <w:lang w:val="en-US"/>
        </w:rPr>
        <w:t>.</w:t>
      </w:r>
    </w:p>
    <w:p w14:paraId="677FF06E" w14:textId="77777777" w:rsidR="005A3AA9" w:rsidRPr="005A3AA9" w:rsidRDefault="005A3AA9" w:rsidP="005A3AA9">
      <w:pPr>
        <w:widowControl w:val="0"/>
        <w:autoSpaceDE w:val="0"/>
        <w:autoSpaceDN w:val="0"/>
        <w:adjustRightInd w:val="0"/>
        <w:spacing w:after="240" w:line="360" w:lineRule="atLeast"/>
        <w:jc w:val="both"/>
        <w:rPr>
          <w:rFonts w:ascii="Times" w:eastAsiaTheme="minorEastAsia" w:hAnsi="Times" w:cs="Times"/>
          <w:sz w:val="24"/>
          <w:szCs w:val="24"/>
          <w:lang w:eastAsia="fr-FR"/>
        </w:rPr>
      </w:pPr>
      <w:r>
        <w:rPr>
          <w:rFonts w:ascii="Times" w:eastAsiaTheme="minorEastAsia" w:hAnsi="Times" w:cs="Times"/>
          <w:sz w:val="24"/>
          <w:szCs w:val="24"/>
          <w:lang w:eastAsia="fr-FR"/>
        </w:rPr>
        <w:t>Foucault, M. (1977). Le jeu de Michel F</w:t>
      </w:r>
      <w:r w:rsidRPr="005A3AA9">
        <w:rPr>
          <w:rFonts w:ascii="Times" w:eastAsiaTheme="minorEastAsia" w:hAnsi="Times" w:cs="Times"/>
          <w:sz w:val="24"/>
          <w:szCs w:val="24"/>
          <w:lang w:eastAsia="fr-FR"/>
        </w:rPr>
        <w:t xml:space="preserve">oucault. </w:t>
      </w:r>
      <w:r w:rsidRPr="005A3AA9">
        <w:rPr>
          <w:rFonts w:ascii="Times" w:eastAsiaTheme="minorEastAsia" w:hAnsi="Times" w:cs="Times"/>
          <w:i/>
          <w:iCs/>
          <w:sz w:val="24"/>
          <w:szCs w:val="24"/>
          <w:lang w:eastAsia="fr-FR"/>
        </w:rPr>
        <w:t>Dits et écrits</w:t>
      </w:r>
      <w:r w:rsidRPr="005A3AA9">
        <w:rPr>
          <w:rFonts w:ascii="Times" w:eastAsiaTheme="minorEastAsia" w:hAnsi="Times" w:cs="Times"/>
          <w:sz w:val="24"/>
          <w:szCs w:val="24"/>
          <w:lang w:eastAsia="fr-FR"/>
        </w:rPr>
        <w:t xml:space="preserve">, </w:t>
      </w:r>
      <w:r w:rsidRPr="005A3AA9">
        <w:rPr>
          <w:rFonts w:ascii="Times" w:eastAsiaTheme="minorEastAsia" w:hAnsi="Times" w:cs="Times"/>
          <w:i/>
          <w:iCs/>
          <w:sz w:val="24"/>
          <w:szCs w:val="24"/>
          <w:lang w:eastAsia="fr-FR"/>
        </w:rPr>
        <w:t>3</w:t>
      </w:r>
      <w:r w:rsidRPr="005A3AA9">
        <w:rPr>
          <w:rFonts w:ascii="Times" w:eastAsiaTheme="minorEastAsia" w:hAnsi="Times" w:cs="Times"/>
          <w:sz w:val="24"/>
          <w:szCs w:val="24"/>
          <w:lang w:eastAsia="fr-FR"/>
        </w:rPr>
        <w:t>, 298. </w:t>
      </w:r>
    </w:p>
    <w:p w14:paraId="3237A280" w14:textId="77777777" w:rsidR="00D111DF" w:rsidRPr="00D111DF" w:rsidRDefault="00501BA4" w:rsidP="00D111DF">
      <w:pPr>
        <w:rPr>
          <w:sz w:val="24"/>
          <w:szCs w:val="24"/>
        </w:rPr>
      </w:pPr>
      <w:r w:rsidRPr="00D111DF">
        <w:rPr>
          <w:rFonts w:ascii="Times New Roman" w:eastAsiaTheme="minorEastAsia" w:hAnsi="Times New Roman"/>
          <w:sz w:val="24"/>
          <w:szCs w:val="24"/>
          <w:lang w:eastAsia="fr-FR"/>
        </w:rPr>
        <w:t xml:space="preserve">Gardiès C. &amp; Rinaudo </w:t>
      </w:r>
      <w:r w:rsidR="00D111DF" w:rsidRPr="00D111DF">
        <w:rPr>
          <w:rFonts w:ascii="Times New Roman" w:eastAsiaTheme="minorEastAsia" w:hAnsi="Times New Roman"/>
          <w:sz w:val="24"/>
          <w:szCs w:val="24"/>
          <w:lang w:eastAsia="fr-FR"/>
        </w:rPr>
        <w:t xml:space="preserve">J.-L. (Dir.) (2015) Médiation numérique des savoirs. </w:t>
      </w:r>
      <w:r w:rsidR="00D111DF" w:rsidRPr="00D111DF">
        <w:rPr>
          <w:rFonts w:ascii="Times New Roman" w:eastAsiaTheme="minorEastAsia" w:hAnsi="Times New Roman"/>
          <w:i/>
          <w:iCs/>
          <w:sz w:val="24"/>
          <w:szCs w:val="24"/>
          <w:lang w:eastAsia="fr-FR"/>
        </w:rPr>
        <w:t>Distances et médiations des savoirs</w:t>
      </w:r>
      <w:r w:rsidR="00D111DF" w:rsidRPr="00D111DF">
        <w:rPr>
          <w:rFonts w:ascii="Times New Roman" w:eastAsiaTheme="minorEastAsia" w:hAnsi="Times New Roman"/>
          <w:sz w:val="24"/>
          <w:szCs w:val="24"/>
          <w:lang w:eastAsia="fr-FR"/>
        </w:rPr>
        <w:t xml:space="preserve"> [En ligne], 12 | 2015. URL : </w:t>
      </w:r>
      <w:hyperlink r:id="rId6" w:history="1">
        <w:r w:rsidR="00D111DF" w:rsidRPr="00D111DF">
          <w:rPr>
            <w:rFonts w:ascii="Times New Roman" w:eastAsiaTheme="minorEastAsia" w:hAnsi="Times New Roman"/>
            <w:color w:val="386EFF"/>
            <w:sz w:val="24"/>
            <w:szCs w:val="24"/>
            <w:u w:val="single" w:color="386EFF"/>
            <w:lang w:eastAsia="fr-FR"/>
          </w:rPr>
          <w:t>http://dms.revues.org/1174</w:t>
        </w:r>
      </w:hyperlink>
      <w:r w:rsidR="00D111DF" w:rsidRPr="00D111DF">
        <w:rPr>
          <w:rFonts w:ascii="Times New Roman" w:eastAsiaTheme="minorEastAsia" w:hAnsi="Times New Roman"/>
          <w:sz w:val="24"/>
          <w:szCs w:val="24"/>
          <w:lang w:eastAsia="fr-FR"/>
        </w:rPr>
        <w:t> </w:t>
      </w:r>
    </w:p>
    <w:p w14:paraId="1B61C99E" w14:textId="77777777" w:rsidR="00DD46F3" w:rsidRDefault="00DD46F3" w:rsidP="005A3AA9">
      <w:pPr>
        <w:jc w:val="both"/>
        <w:rPr>
          <w:rFonts w:ascii="Times New Roman" w:hAnsi="Times New Roman"/>
          <w:sz w:val="24"/>
          <w:szCs w:val="24"/>
        </w:rPr>
      </w:pPr>
      <w:r>
        <w:rPr>
          <w:rFonts w:ascii="Times New Roman" w:hAnsi="Times New Roman"/>
          <w:sz w:val="24"/>
          <w:szCs w:val="24"/>
        </w:rPr>
        <w:t>Jacquinot</w:t>
      </w:r>
      <w:r w:rsidRPr="00DD46F3">
        <w:rPr>
          <w:rFonts w:ascii="Times New Roman" w:hAnsi="Times New Roman"/>
          <w:sz w:val="24"/>
          <w:szCs w:val="24"/>
        </w:rPr>
        <w:t>-D</w:t>
      </w:r>
      <w:r>
        <w:rPr>
          <w:rFonts w:ascii="Times New Roman" w:hAnsi="Times New Roman"/>
          <w:sz w:val="24"/>
          <w:szCs w:val="24"/>
        </w:rPr>
        <w:t xml:space="preserve">elaunay </w:t>
      </w:r>
      <w:r w:rsidRPr="00DD46F3">
        <w:rPr>
          <w:rFonts w:ascii="Times New Roman" w:hAnsi="Times New Roman"/>
          <w:sz w:val="24"/>
          <w:szCs w:val="24"/>
        </w:rPr>
        <w:t>G</w:t>
      </w:r>
      <w:r>
        <w:rPr>
          <w:rFonts w:ascii="Times New Roman" w:hAnsi="Times New Roman"/>
          <w:sz w:val="24"/>
          <w:szCs w:val="24"/>
        </w:rPr>
        <w:t>.</w:t>
      </w:r>
      <w:r w:rsidRPr="00DD46F3">
        <w:rPr>
          <w:rFonts w:ascii="Times New Roman" w:hAnsi="Times New Roman"/>
          <w:sz w:val="24"/>
          <w:szCs w:val="24"/>
        </w:rPr>
        <w:t xml:space="preserve"> </w:t>
      </w:r>
      <w:r>
        <w:rPr>
          <w:rFonts w:ascii="Times New Roman" w:hAnsi="Times New Roman"/>
          <w:sz w:val="24"/>
          <w:szCs w:val="24"/>
        </w:rPr>
        <w:t>&amp;</w:t>
      </w:r>
      <w:r w:rsidRPr="00DD46F3">
        <w:rPr>
          <w:rFonts w:ascii="Times New Roman" w:hAnsi="Times New Roman"/>
          <w:sz w:val="24"/>
          <w:szCs w:val="24"/>
        </w:rPr>
        <w:t xml:space="preserve"> M</w:t>
      </w:r>
      <w:r>
        <w:rPr>
          <w:rFonts w:ascii="Times New Roman" w:hAnsi="Times New Roman"/>
          <w:sz w:val="24"/>
          <w:szCs w:val="24"/>
        </w:rPr>
        <w:t>onnoyer</w:t>
      </w:r>
      <w:r w:rsidR="006560A6">
        <w:rPr>
          <w:rFonts w:ascii="Times New Roman" w:hAnsi="Times New Roman"/>
          <w:sz w:val="24"/>
          <w:szCs w:val="24"/>
        </w:rPr>
        <w:t> </w:t>
      </w:r>
      <w:r>
        <w:rPr>
          <w:rFonts w:ascii="Times New Roman" w:hAnsi="Times New Roman"/>
          <w:sz w:val="24"/>
          <w:szCs w:val="24"/>
        </w:rPr>
        <w:t xml:space="preserve">L. (1999). </w:t>
      </w:r>
      <w:r w:rsidRPr="00DD46F3">
        <w:rPr>
          <w:rFonts w:ascii="Times New Roman" w:hAnsi="Times New Roman"/>
          <w:sz w:val="24"/>
          <w:szCs w:val="24"/>
        </w:rPr>
        <w:t>Le dispositif entre usage et concept.</w:t>
      </w:r>
      <w:r>
        <w:rPr>
          <w:rFonts w:ascii="Times New Roman" w:hAnsi="Times New Roman"/>
          <w:i/>
          <w:sz w:val="24"/>
          <w:szCs w:val="24"/>
        </w:rPr>
        <w:t xml:space="preserve"> Hermès, </w:t>
      </w:r>
      <w:r w:rsidRPr="00DD46F3">
        <w:rPr>
          <w:rFonts w:ascii="Times New Roman" w:hAnsi="Times New Roman"/>
          <w:sz w:val="24"/>
          <w:szCs w:val="24"/>
        </w:rPr>
        <w:t>25</w:t>
      </w:r>
    </w:p>
    <w:p w14:paraId="11805FF5" w14:textId="77777777" w:rsidR="009D0BB8" w:rsidRDefault="005A3AA9" w:rsidP="005A3AA9">
      <w:pPr>
        <w:jc w:val="both"/>
        <w:rPr>
          <w:rFonts w:ascii="Times New Roman" w:hAnsi="Times New Roman"/>
          <w:sz w:val="24"/>
          <w:szCs w:val="24"/>
        </w:rPr>
      </w:pPr>
      <w:r w:rsidRPr="00135408">
        <w:rPr>
          <w:rFonts w:ascii="Times New Roman" w:hAnsi="Times New Roman"/>
          <w:sz w:val="24"/>
          <w:szCs w:val="24"/>
        </w:rPr>
        <w:t>Lévi-Strauss</w:t>
      </w:r>
      <w:r w:rsidR="00135408" w:rsidRPr="00135408">
        <w:rPr>
          <w:rFonts w:ascii="Times New Roman" w:hAnsi="Times New Roman"/>
          <w:sz w:val="24"/>
          <w:szCs w:val="24"/>
        </w:rPr>
        <w:t>. C.</w:t>
      </w:r>
      <w:r w:rsidR="009D0BB8" w:rsidRPr="00135408">
        <w:rPr>
          <w:rFonts w:ascii="Times New Roman" w:hAnsi="Times New Roman"/>
          <w:sz w:val="24"/>
          <w:szCs w:val="24"/>
        </w:rPr>
        <w:t xml:space="preserve"> </w:t>
      </w:r>
      <w:r w:rsidR="00135408" w:rsidRPr="00135408">
        <w:rPr>
          <w:rFonts w:ascii="Times New Roman" w:hAnsi="Times New Roman"/>
          <w:sz w:val="24"/>
          <w:szCs w:val="24"/>
        </w:rPr>
        <w:t>(</w:t>
      </w:r>
      <w:r w:rsidR="009D0BB8" w:rsidRPr="00135408">
        <w:rPr>
          <w:rFonts w:ascii="Times New Roman" w:hAnsi="Times New Roman"/>
          <w:sz w:val="24"/>
          <w:szCs w:val="24"/>
        </w:rPr>
        <w:t>1962</w:t>
      </w:r>
      <w:r w:rsidR="00135408" w:rsidRPr="00135408">
        <w:rPr>
          <w:rFonts w:ascii="Times New Roman" w:hAnsi="Times New Roman"/>
          <w:sz w:val="24"/>
          <w:szCs w:val="24"/>
        </w:rPr>
        <w:t>)</w:t>
      </w:r>
      <w:r w:rsidR="00135408">
        <w:rPr>
          <w:rFonts w:ascii="Times New Roman" w:hAnsi="Times New Roman"/>
          <w:sz w:val="24"/>
          <w:szCs w:val="24"/>
        </w:rPr>
        <w:t xml:space="preserve">. </w:t>
      </w:r>
      <w:r w:rsidR="00135408" w:rsidRPr="00135408">
        <w:rPr>
          <w:rFonts w:ascii="Times New Roman" w:hAnsi="Times New Roman"/>
          <w:i/>
          <w:sz w:val="24"/>
          <w:szCs w:val="24"/>
        </w:rPr>
        <w:t xml:space="preserve">La Pensée sauvage, </w:t>
      </w:r>
      <w:r w:rsidR="00135408" w:rsidRPr="00135408">
        <w:rPr>
          <w:rFonts w:ascii="Times New Roman" w:hAnsi="Times New Roman"/>
          <w:sz w:val="24"/>
          <w:szCs w:val="24"/>
        </w:rPr>
        <w:t>Paris</w:t>
      </w:r>
      <w:r w:rsidR="00135408">
        <w:rPr>
          <w:rFonts w:ascii="Times New Roman" w:hAnsi="Times New Roman"/>
          <w:sz w:val="24"/>
          <w:szCs w:val="24"/>
        </w:rPr>
        <w:t> :</w:t>
      </w:r>
      <w:r w:rsidR="00135408" w:rsidRPr="00135408">
        <w:rPr>
          <w:rFonts w:ascii="Times New Roman" w:hAnsi="Times New Roman"/>
          <w:sz w:val="24"/>
          <w:szCs w:val="24"/>
        </w:rPr>
        <w:t xml:space="preserve"> Plon</w:t>
      </w:r>
      <w:r w:rsidR="00135408">
        <w:rPr>
          <w:rFonts w:ascii="Times New Roman" w:hAnsi="Times New Roman"/>
          <w:sz w:val="24"/>
          <w:szCs w:val="24"/>
        </w:rPr>
        <w:t>.</w:t>
      </w:r>
    </w:p>
    <w:p w14:paraId="04EDFE44" w14:textId="77777777" w:rsidR="006C67A7" w:rsidRPr="00135408" w:rsidRDefault="006C67A7" w:rsidP="005A3AA9">
      <w:pPr>
        <w:jc w:val="both"/>
        <w:rPr>
          <w:rFonts w:ascii="Times New Roman" w:hAnsi="Times New Roman"/>
          <w:sz w:val="24"/>
          <w:szCs w:val="24"/>
        </w:rPr>
      </w:pPr>
      <w:r>
        <w:rPr>
          <w:rFonts w:ascii="Times New Roman" w:hAnsi="Times New Roman"/>
          <w:sz w:val="24"/>
          <w:szCs w:val="24"/>
        </w:rPr>
        <w:t>Morin</w:t>
      </w:r>
      <w:r w:rsidRPr="006C67A7">
        <w:rPr>
          <w:rFonts w:ascii="Times New Roman" w:hAnsi="Times New Roman"/>
          <w:sz w:val="24"/>
          <w:szCs w:val="24"/>
        </w:rPr>
        <w:t>, E</w:t>
      </w:r>
      <w:r>
        <w:rPr>
          <w:rFonts w:ascii="Times New Roman" w:hAnsi="Times New Roman"/>
          <w:sz w:val="24"/>
          <w:szCs w:val="24"/>
        </w:rPr>
        <w:t>.</w:t>
      </w:r>
      <w:r w:rsidRPr="006C67A7">
        <w:rPr>
          <w:rFonts w:ascii="Times New Roman" w:hAnsi="Times New Roman"/>
          <w:sz w:val="24"/>
          <w:szCs w:val="24"/>
        </w:rPr>
        <w:t xml:space="preserve"> (1999). Les défis de la complexité. </w:t>
      </w:r>
      <w:r w:rsidRPr="006C67A7">
        <w:rPr>
          <w:rFonts w:ascii="Times New Roman" w:hAnsi="Times New Roman"/>
          <w:i/>
          <w:sz w:val="24"/>
          <w:szCs w:val="24"/>
        </w:rPr>
        <w:t>Le défi du XXIe siècle</w:t>
      </w:r>
      <w:r w:rsidR="006560A6">
        <w:rPr>
          <w:rFonts w:ascii="Times New Roman" w:hAnsi="Times New Roman"/>
          <w:i/>
          <w:sz w:val="24"/>
          <w:szCs w:val="24"/>
        </w:rPr>
        <w:t> </w:t>
      </w:r>
      <w:r w:rsidRPr="006C67A7">
        <w:rPr>
          <w:rFonts w:ascii="Times New Roman" w:hAnsi="Times New Roman"/>
          <w:i/>
          <w:sz w:val="24"/>
          <w:szCs w:val="24"/>
        </w:rPr>
        <w:t>: relier les connaissances</w:t>
      </w:r>
      <w:r w:rsidRPr="006C67A7">
        <w:rPr>
          <w:rFonts w:ascii="Times New Roman" w:hAnsi="Times New Roman"/>
          <w:sz w:val="24"/>
          <w:szCs w:val="24"/>
        </w:rPr>
        <w:t>. Journées thématiques conçues et animées par Edgar Morin, Paris, 16-24 mars 1998. Paris</w:t>
      </w:r>
      <w:r w:rsidR="006560A6">
        <w:rPr>
          <w:rFonts w:ascii="Times New Roman" w:hAnsi="Times New Roman"/>
          <w:sz w:val="24"/>
          <w:szCs w:val="24"/>
        </w:rPr>
        <w:t> </w:t>
      </w:r>
      <w:r w:rsidRPr="006C67A7">
        <w:rPr>
          <w:rFonts w:ascii="Times New Roman" w:hAnsi="Times New Roman"/>
          <w:sz w:val="24"/>
          <w:szCs w:val="24"/>
        </w:rPr>
        <w:t>: Seuil. p. 451-457.</w:t>
      </w:r>
    </w:p>
    <w:p w14:paraId="39403C63" w14:textId="77777777" w:rsidR="005A3AA9" w:rsidRDefault="005A3AA9" w:rsidP="005A3AA9">
      <w:pPr>
        <w:widowControl w:val="0"/>
        <w:autoSpaceDE w:val="0"/>
        <w:autoSpaceDN w:val="0"/>
        <w:adjustRightInd w:val="0"/>
        <w:spacing w:after="240" w:line="360" w:lineRule="atLeast"/>
        <w:jc w:val="both"/>
        <w:rPr>
          <w:rFonts w:ascii="Times" w:eastAsiaTheme="minorEastAsia" w:hAnsi="Times" w:cs="Times"/>
          <w:sz w:val="24"/>
          <w:szCs w:val="24"/>
          <w:lang w:eastAsia="fr-FR"/>
        </w:rPr>
      </w:pPr>
      <w:r w:rsidRPr="005A3AA9">
        <w:rPr>
          <w:rFonts w:ascii="Times" w:eastAsiaTheme="minorEastAsia" w:hAnsi="Times" w:cs="Times"/>
          <w:sz w:val="24"/>
          <w:szCs w:val="24"/>
          <w:lang w:eastAsia="fr-FR"/>
        </w:rPr>
        <w:t>Ransøe, S. (2008). Qu’est-ce qu’un dispositif</w:t>
      </w:r>
      <w:r w:rsidR="006560A6">
        <w:rPr>
          <w:rFonts w:ascii="Times" w:eastAsiaTheme="minorEastAsia" w:hAnsi="Times" w:cs="Times"/>
          <w:sz w:val="24"/>
          <w:szCs w:val="24"/>
          <w:lang w:eastAsia="fr-FR"/>
        </w:rPr>
        <w:t> </w:t>
      </w:r>
      <w:r w:rsidRPr="005A3AA9">
        <w:rPr>
          <w:rFonts w:ascii="Times" w:eastAsiaTheme="minorEastAsia" w:hAnsi="Times" w:cs="Times"/>
          <w:sz w:val="24"/>
          <w:szCs w:val="24"/>
          <w:lang w:eastAsia="fr-FR"/>
        </w:rPr>
        <w:t xml:space="preserve">? In </w:t>
      </w:r>
      <w:r w:rsidRPr="005A3AA9">
        <w:rPr>
          <w:rFonts w:ascii="Times" w:eastAsiaTheme="minorEastAsia" w:hAnsi="Times" w:cs="Times"/>
          <w:i/>
          <w:iCs/>
          <w:sz w:val="24"/>
          <w:szCs w:val="24"/>
          <w:lang w:eastAsia="fr-FR"/>
        </w:rPr>
        <w:t>Symposium</w:t>
      </w:r>
      <w:r w:rsidRPr="005A3AA9">
        <w:rPr>
          <w:rFonts w:ascii="Times" w:eastAsiaTheme="minorEastAsia" w:hAnsi="Times" w:cs="Times"/>
          <w:sz w:val="24"/>
          <w:szCs w:val="24"/>
          <w:lang w:eastAsia="fr-FR"/>
        </w:rPr>
        <w:t>, (pp.</w:t>
      </w:r>
      <w:r w:rsidR="006560A6">
        <w:rPr>
          <w:rFonts w:ascii="Times" w:eastAsiaTheme="minorEastAsia" w:hAnsi="Times" w:cs="Times"/>
          <w:sz w:val="24"/>
          <w:szCs w:val="24"/>
          <w:lang w:eastAsia="fr-FR"/>
        </w:rPr>
        <w:t> </w:t>
      </w:r>
      <w:r w:rsidRPr="005A3AA9">
        <w:rPr>
          <w:rFonts w:ascii="Times" w:eastAsiaTheme="minorEastAsia" w:hAnsi="Times" w:cs="Times"/>
          <w:sz w:val="24"/>
          <w:szCs w:val="24"/>
          <w:lang w:eastAsia="fr-FR"/>
        </w:rPr>
        <w:t xml:space="preserve">44–66). </w:t>
      </w:r>
    </w:p>
    <w:p w14:paraId="705978F4" w14:textId="77777777" w:rsidR="00D111DF" w:rsidRPr="00D111DF" w:rsidRDefault="00D111DF" w:rsidP="00D111DF">
      <w:pPr>
        <w:widowControl w:val="0"/>
        <w:autoSpaceDE w:val="0"/>
        <w:autoSpaceDN w:val="0"/>
        <w:adjustRightInd w:val="0"/>
        <w:spacing w:after="240" w:line="240" w:lineRule="auto"/>
        <w:jc w:val="both"/>
        <w:rPr>
          <w:rFonts w:ascii="Times New Roman" w:eastAsiaTheme="minorEastAsia" w:hAnsi="Times New Roman"/>
          <w:sz w:val="24"/>
          <w:szCs w:val="24"/>
          <w:lang w:eastAsia="fr-FR"/>
        </w:rPr>
      </w:pPr>
      <w:r w:rsidRPr="00D111DF">
        <w:rPr>
          <w:rFonts w:ascii="Times New Roman" w:eastAsiaTheme="minorEastAsia" w:hAnsi="Times New Roman"/>
          <w:color w:val="1A1A1A"/>
          <w:sz w:val="24"/>
          <w:szCs w:val="24"/>
          <w:lang w:eastAsia="fr-FR"/>
        </w:rPr>
        <w:t xml:space="preserve">Weisser, M. (2010). </w:t>
      </w:r>
      <w:r w:rsidRPr="00D111DF">
        <w:rPr>
          <w:rFonts w:ascii="Times New Roman" w:eastAsiaTheme="minorEastAsia" w:hAnsi="Times New Roman"/>
          <w:i/>
          <w:iCs/>
          <w:color w:val="1A1A1A"/>
          <w:sz w:val="24"/>
          <w:szCs w:val="24"/>
          <w:lang w:eastAsia="fr-FR"/>
        </w:rPr>
        <w:t>Dispositif didactique</w:t>
      </w:r>
      <w:r w:rsidR="006560A6">
        <w:rPr>
          <w:rFonts w:ascii="Times New Roman" w:eastAsiaTheme="minorEastAsia" w:hAnsi="Times New Roman"/>
          <w:i/>
          <w:iCs/>
          <w:color w:val="1A1A1A"/>
          <w:sz w:val="24"/>
          <w:szCs w:val="24"/>
          <w:lang w:eastAsia="fr-FR"/>
        </w:rPr>
        <w:t> </w:t>
      </w:r>
      <w:r w:rsidRPr="00D111DF">
        <w:rPr>
          <w:rFonts w:ascii="Times New Roman" w:eastAsiaTheme="minorEastAsia" w:hAnsi="Times New Roman"/>
          <w:i/>
          <w:iCs/>
          <w:color w:val="1A1A1A"/>
          <w:sz w:val="24"/>
          <w:szCs w:val="24"/>
          <w:lang w:eastAsia="fr-FR"/>
        </w:rPr>
        <w:t>? Dispositif pédagogique</w:t>
      </w:r>
      <w:r w:rsidR="006560A6">
        <w:rPr>
          <w:rFonts w:ascii="Times New Roman" w:eastAsiaTheme="minorEastAsia" w:hAnsi="Times New Roman"/>
          <w:i/>
          <w:iCs/>
          <w:color w:val="1A1A1A"/>
          <w:sz w:val="24"/>
          <w:szCs w:val="24"/>
          <w:lang w:eastAsia="fr-FR"/>
        </w:rPr>
        <w:t> </w:t>
      </w:r>
      <w:r w:rsidRPr="00D111DF">
        <w:rPr>
          <w:rFonts w:ascii="Times New Roman" w:eastAsiaTheme="minorEastAsia" w:hAnsi="Times New Roman"/>
          <w:i/>
          <w:iCs/>
          <w:color w:val="1A1A1A"/>
          <w:sz w:val="24"/>
          <w:szCs w:val="24"/>
          <w:lang w:eastAsia="fr-FR"/>
        </w:rPr>
        <w:t>? Situations d’apprentissage</w:t>
      </w:r>
      <w:r w:rsidR="006560A6">
        <w:rPr>
          <w:rFonts w:ascii="Times New Roman" w:eastAsiaTheme="minorEastAsia" w:hAnsi="Times New Roman"/>
          <w:i/>
          <w:iCs/>
          <w:color w:val="1A1A1A"/>
          <w:sz w:val="24"/>
          <w:szCs w:val="24"/>
          <w:lang w:eastAsia="fr-FR"/>
        </w:rPr>
        <w:t> </w:t>
      </w:r>
      <w:r w:rsidRPr="00D111DF">
        <w:rPr>
          <w:rFonts w:ascii="Times New Roman" w:eastAsiaTheme="minorEastAsia" w:hAnsi="Times New Roman"/>
          <w:i/>
          <w:iCs/>
          <w:color w:val="1A1A1A"/>
          <w:sz w:val="24"/>
          <w:szCs w:val="24"/>
          <w:lang w:eastAsia="fr-FR"/>
        </w:rPr>
        <w:t>!</w:t>
      </w:r>
      <w:r w:rsidRPr="00D111DF">
        <w:rPr>
          <w:rFonts w:ascii="Times New Roman" w:eastAsiaTheme="minorEastAsia" w:hAnsi="Times New Roman"/>
          <w:color w:val="1A1A1A"/>
          <w:sz w:val="24"/>
          <w:szCs w:val="24"/>
          <w:lang w:eastAsia="fr-FR"/>
        </w:rPr>
        <w:t xml:space="preserve"> (Vol.</w:t>
      </w:r>
      <w:r w:rsidR="006560A6">
        <w:rPr>
          <w:rFonts w:ascii="Times New Roman" w:eastAsiaTheme="minorEastAsia" w:hAnsi="Times New Roman"/>
          <w:color w:val="1A1A1A"/>
          <w:sz w:val="24"/>
          <w:szCs w:val="24"/>
          <w:lang w:eastAsia="fr-FR"/>
        </w:rPr>
        <w:t> </w:t>
      </w:r>
      <w:r w:rsidRPr="00D111DF">
        <w:rPr>
          <w:rFonts w:ascii="Times New Roman" w:eastAsiaTheme="minorEastAsia" w:hAnsi="Times New Roman"/>
          <w:color w:val="1A1A1A"/>
          <w:sz w:val="24"/>
          <w:szCs w:val="24"/>
          <w:lang w:eastAsia="fr-FR"/>
        </w:rPr>
        <w:t>4, No.</w:t>
      </w:r>
      <w:r w:rsidR="006560A6">
        <w:rPr>
          <w:rFonts w:ascii="Times New Roman" w:eastAsiaTheme="minorEastAsia" w:hAnsi="Times New Roman"/>
          <w:color w:val="1A1A1A"/>
          <w:sz w:val="24"/>
          <w:szCs w:val="24"/>
          <w:lang w:eastAsia="fr-FR"/>
        </w:rPr>
        <w:t> </w:t>
      </w:r>
      <w:r w:rsidRPr="00D111DF">
        <w:rPr>
          <w:rFonts w:ascii="Times New Roman" w:eastAsiaTheme="minorEastAsia" w:hAnsi="Times New Roman"/>
          <w:color w:val="1A1A1A"/>
          <w:sz w:val="24"/>
          <w:szCs w:val="24"/>
          <w:lang w:eastAsia="fr-FR"/>
        </w:rPr>
        <w:t>13, pp.</w:t>
      </w:r>
      <w:r w:rsidR="006560A6">
        <w:rPr>
          <w:rFonts w:ascii="Times New Roman" w:eastAsiaTheme="minorEastAsia" w:hAnsi="Times New Roman"/>
          <w:color w:val="1A1A1A"/>
          <w:sz w:val="24"/>
          <w:szCs w:val="24"/>
          <w:lang w:eastAsia="fr-FR"/>
        </w:rPr>
        <w:t> </w:t>
      </w:r>
      <w:r w:rsidRPr="00D111DF">
        <w:rPr>
          <w:rFonts w:ascii="Times New Roman" w:eastAsiaTheme="minorEastAsia" w:hAnsi="Times New Roman"/>
          <w:color w:val="1A1A1A"/>
          <w:sz w:val="24"/>
          <w:szCs w:val="24"/>
          <w:lang w:eastAsia="fr-FR"/>
        </w:rPr>
        <w:t>291-303). Université de Provence-Département des Sciences de l</w:t>
      </w:r>
      <w:r w:rsidR="006560A6">
        <w:rPr>
          <w:rFonts w:ascii="Times New Roman" w:eastAsiaTheme="minorEastAsia" w:hAnsi="Times New Roman"/>
          <w:color w:val="1A1A1A"/>
          <w:sz w:val="24"/>
          <w:szCs w:val="24"/>
          <w:lang w:eastAsia="fr-FR"/>
        </w:rPr>
        <w:t>’</w:t>
      </w:r>
      <w:r w:rsidRPr="00D111DF">
        <w:rPr>
          <w:rFonts w:ascii="Times New Roman" w:eastAsiaTheme="minorEastAsia" w:hAnsi="Times New Roman"/>
          <w:color w:val="1A1A1A"/>
          <w:sz w:val="24"/>
          <w:szCs w:val="24"/>
          <w:lang w:eastAsia="fr-FR"/>
        </w:rPr>
        <w:t>éducation.</w:t>
      </w:r>
    </w:p>
    <w:sectPr w:rsidR="00D111DF" w:rsidRPr="00D111DF" w:rsidSect="00D111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21DEF"/>
    <w:multiLevelType w:val="multilevel"/>
    <w:tmpl w:val="656414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C9"/>
    <w:rsid w:val="00107BEC"/>
    <w:rsid w:val="00135408"/>
    <w:rsid w:val="00247621"/>
    <w:rsid w:val="003332CF"/>
    <w:rsid w:val="00362449"/>
    <w:rsid w:val="004B73A2"/>
    <w:rsid w:val="004E1BDA"/>
    <w:rsid w:val="00501BA4"/>
    <w:rsid w:val="00521643"/>
    <w:rsid w:val="005A3AA9"/>
    <w:rsid w:val="0061210E"/>
    <w:rsid w:val="006560A6"/>
    <w:rsid w:val="006C67A7"/>
    <w:rsid w:val="008D1DD4"/>
    <w:rsid w:val="008E7770"/>
    <w:rsid w:val="009D0BB8"/>
    <w:rsid w:val="00B3751D"/>
    <w:rsid w:val="00B44AA3"/>
    <w:rsid w:val="00BB48B9"/>
    <w:rsid w:val="00C27931"/>
    <w:rsid w:val="00C8478C"/>
    <w:rsid w:val="00D03731"/>
    <w:rsid w:val="00D111DF"/>
    <w:rsid w:val="00D572C9"/>
    <w:rsid w:val="00DD46F3"/>
    <w:rsid w:val="00E309EB"/>
    <w:rsid w:val="00E62BC8"/>
    <w:rsid w:val="00EF59D3"/>
    <w:rsid w:val="00F062A1"/>
    <w:rsid w:val="00F526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C1F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C9"/>
    <w:pPr>
      <w:spacing w:after="160" w:line="259" w:lineRule="auto"/>
    </w:pPr>
    <w:rPr>
      <w:rFonts w:ascii="Calibri" w:eastAsia="Calibri" w:hAnsi="Calibri" w:cs="Times New Roman"/>
      <w:sz w:val="22"/>
      <w:szCs w:val="22"/>
      <w:lang w:eastAsia="en-US"/>
    </w:rPr>
  </w:style>
  <w:style w:type="paragraph" w:styleId="Titre1">
    <w:name w:val="heading 1"/>
    <w:basedOn w:val="Normal"/>
    <w:next w:val="Normal"/>
    <w:link w:val="Titre1Car"/>
    <w:autoRedefine/>
    <w:uiPriority w:val="9"/>
    <w:qFormat/>
    <w:rsid w:val="008E7770"/>
    <w:pPr>
      <w:keepNext/>
      <w:keepLines/>
      <w:spacing w:before="480" w:after="0" w:line="240" w:lineRule="auto"/>
      <w:outlineLvl w:val="0"/>
    </w:pPr>
    <w:rPr>
      <w:rFonts w:ascii="Book Antiqua" w:eastAsiaTheme="majorEastAsia" w:hAnsi="Book Antiqua" w:cstheme="majorBidi"/>
      <w:bCs/>
      <w:i/>
      <w:color w:val="548DD4" w:themeColor="text2" w:themeTint="99"/>
      <w:sz w:val="36"/>
      <w:szCs w:val="36"/>
      <w:lang w:eastAsia="fr-FR"/>
    </w:rPr>
  </w:style>
  <w:style w:type="paragraph" w:styleId="Titre3">
    <w:name w:val="heading 3"/>
    <w:basedOn w:val="Normal"/>
    <w:next w:val="Normal"/>
    <w:link w:val="Titre3Car"/>
    <w:autoRedefine/>
    <w:uiPriority w:val="9"/>
    <w:unhideWhenUsed/>
    <w:qFormat/>
    <w:rsid w:val="008E7770"/>
    <w:pPr>
      <w:keepNext/>
      <w:keepLines/>
      <w:spacing w:before="200" w:after="0" w:line="240" w:lineRule="auto"/>
      <w:ind w:left="1224" w:hanging="504"/>
      <w:outlineLvl w:val="2"/>
    </w:pPr>
    <w:rPr>
      <w:rFonts w:ascii="Book Antiqua" w:eastAsiaTheme="majorEastAsia" w:hAnsi="Book Antiqua" w:cstheme="majorBidi"/>
      <w:bCs/>
      <w:i/>
      <w:color w:val="548DD4" w:themeColor="text2" w:themeTint="99"/>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770"/>
    <w:rPr>
      <w:rFonts w:ascii="Book Antiqua" w:eastAsiaTheme="majorEastAsia" w:hAnsi="Book Antiqua" w:cstheme="majorBidi"/>
      <w:bCs/>
      <w:i/>
      <w:color w:val="548DD4" w:themeColor="text2" w:themeTint="99"/>
      <w:sz w:val="36"/>
      <w:szCs w:val="36"/>
    </w:rPr>
  </w:style>
  <w:style w:type="character" w:customStyle="1" w:styleId="Titre3Car">
    <w:name w:val="Titre 3 Car"/>
    <w:basedOn w:val="Policepardfaut"/>
    <w:link w:val="Titre3"/>
    <w:uiPriority w:val="9"/>
    <w:rsid w:val="008E7770"/>
    <w:rPr>
      <w:rFonts w:ascii="Book Antiqua" w:eastAsiaTheme="majorEastAsia" w:hAnsi="Book Antiqua" w:cstheme="majorBidi"/>
      <w:bCs/>
      <w:i/>
      <w:color w:val="548DD4" w:themeColor="text2" w:themeTint="99"/>
      <w:sz w:val="28"/>
    </w:rPr>
  </w:style>
  <w:style w:type="paragraph" w:customStyle="1" w:styleId="Default">
    <w:name w:val="Default"/>
    <w:rsid w:val="00D572C9"/>
    <w:pPr>
      <w:autoSpaceDE w:val="0"/>
      <w:autoSpaceDN w:val="0"/>
      <w:adjustRightInd w:val="0"/>
    </w:pPr>
    <w:rPr>
      <w:rFonts w:ascii="Times New Roman" w:eastAsia="Calibri" w:hAnsi="Times New Roman" w:cs="Times New Roman"/>
      <w:color w:val="000000"/>
      <w:lang w:eastAsia="en-US"/>
    </w:rPr>
  </w:style>
  <w:style w:type="paragraph" w:styleId="Textedebulles">
    <w:name w:val="Balloon Text"/>
    <w:basedOn w:val="Normal"/>
    <w:link w:val="TextedebullesCar"/>
    <w:uiPriority w:val="99"/>
    <w:semiHidden/>
    <w:unhideWhenUsed/>
    <w:rsid w:val="00EF59D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59D3"/>
    <w:rPr>
      <w:rFonts w:ascii="Lucida Grande" w:eastAsia="Calibri" w:hAnsi="Lucida Grande" w:cs="Lucida Grande"/>
      <w:sz w:val="18"/>
      <w:szCs w:val="18"/>
      <w:lang w:eastAsia="en-US"/>
    </w:rPr>
  </w:style>
  <w:style w:type="character" w:styleId="Accentuation">
    <w:name w:val="Emphasis"/>
    <w:basedOn w:val="Policepardfaut"/>
    <w:uiPriority w:val="20"/>
    <w:qFormat/>
    <w:rsid w:val="00DD46F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C9"/>
    <w:pPr>
      <w:spacing w:after="160" w:line="259" w:lineRule="auto"/>
    </w:pPr>
    <w:rPr>
      <w:rFonts w:ascii="Calibri" w:eastAsia="Calibri" w:hAnsi="Calibri" w:cs="Times New Roman"/>
      <w:sz w:val="22"/>
      <w:szCs w:val="22"/>
      <w:lang w:eastAsia="en-US"/>
    </w:rPr>
  </w:style>
  <w:style w:type="paragraph" w:styleId="Titre1">
    <w:name w:val="heading 1"/>
    <w:basedOn w:val="Normal"/>
    <w:next w:val="Normal"/>
    <w:link w:val="Titre1Car"/>
    <w:autoRedefine/>
    <w:uiPriority w:val="9"/>
    <w:qFormat/>
    <w:rsid w:val="008E7770"/>
    <w:pPr>
      <w:keepNext/>
      <w:keepLines/>
      <w:spacing w:before="480" w:after="0" w:line="240" w:lineRule="auto"/>
      <w:outlineLvl w:val="0"/>
    </w:pPr>
    <w:rPr>
      <w:rFonts w:ascii="Book Antiqua" w:eastAsiaTheme="majorEastAsia" w:hAnsi="Book Antiqua" w:cstheme="majorBidi"/>
      <w:bCs/>
      <w:i/>
      <w:color w:val="548DD4" w:themeColor="text2" w:themeTint="99"/>
      <w:sz w:val="36"/>
      <w:szCs w:val="36"/>
      <w:lang w:eastAsia="fr-FR"/>
    </w:rPr>
  </w:style>
  <w:style w:type="paragraph" w:styleId="Titre3">
    <w:name w:val="heading 3"/>
    <w:basedOn w:val="Normal"/>
    <w:next w:val="Normal"/>
    <w:link w:val="Titre3Car"/>
    <w:autoRedefine/>
    <w:uiPriority w:val="9"/>
    <w:unhideWhenUsed/>
    <w:qFormat/>
    <w:rsid w:val="008E7770"/>
    <w:pPr>
      <w:keepNext/>
      <w:keepLines/>
      <w:spacing w:before="200" w:after="0" w:line="240" w:lineRule="auto"/>
      <w:ind w:left="1224" w:hanging="504"/>
      <w:outlineLvl w:val="2"/>
    </w:pPr>
    <w:rPr>
      <w:rFonts w:ascii="Book Antiqua" w:eastAsiaTheme="majorEastAsia" w:hAnsi="Book Antiqua" w:cstheme="majorBidi"/>
      <w:bCs/>
      <w:i/>
      <w:color w:val="548DD4" w:themeColor="text2" w:themeTint="99"/>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770"/>
    <w:rPr>
      <w:rFonts w:ascii="Book Antiqua" w:eastAsiaTheme="majorEastAsia" w:hAnsi="Book Antiqua" w:cstheme="majorBidi"/>
      <w:bCs/>
      <w:i/>
      <w:color w:val="548DD4" w:themeColor="text2" w:themeTint="99"/>
      <w:sz w:val="36"/>
      <w:szCs w:val="36"/>
    </w:rPr>
  </w:style>
  <w:style w:type="character" w:customStyle="1" w:styleId="Titre3Car">
    <w:name w:val="Titre 3 Car"/>
    <w:basedOn w:val="Policepardfaut"/>
    <w:link w:val="Titre3"/>
    <w:uiPriority w:val="9"/>
    <w:rsid w:val="008E7770"/>
    <w:rPr>
      <w:rFonts w:ascii="Book Antiqua" w:eastAsiaTheme="majorEastAsia" w:hAnsi="Book Antiqua" w:cstheme="majorBidi"/>
      <w:bCs/>
      <w:i/>
      <w:color w:val="548DD4" w:themeColor="text2" w:themeTint="99"/>
      <w:sz w:val="28"/>
    </w:rPr>
  </w:style>
  <w:style w:type="paragraph" w:customStyle="1" w:styleId="Default">
    <w:name w:val="Default"/>
    <w:rsid w:val="00D572C9"/>
    <w:pPr>
      <w:autoSpaceDE w:val="0"/>
      <w:autoSpaceDN w:val="0"/>
      <w:adjustRightInd w:val="0"/>
    </w:pPr>
    <w:rPr>
      <w:rFonts w:ascii="Times New Roman" w:eastAsia="Calibri" w:hAnsi="Times New Roman" w:cs="Times New Roman"/>
      <w:color w:val="000000"/>
      <w:lang w:eastAsia="en-US"/>
    </w:rPr>
  </w:style>
  <w:style w:type="paragraph" w:styleId="Textedebulles">
    <w:name w:val="Balloon Text"/>
    <w:basedOn w:val="Normal"/>
    <w:link w:val="TextedebullesCar"/>
    <w:uiPriority w:val="99"/>
    <w:semiHidden/>
    <w:unhideWhenUsed/>
    <w:rsid w:val="00EF59D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59D3"/>
    <w:rPr>
      <w:rFonts w:ascii="Lucida Grande" w:eastAsia="Calibri" w:hAnsi="Lucida Grande" w:cs="Lucida Grande"/>
      <w:sz w:val="18"/>
      <w:szCs w:val="18"/>
      <w:lang w:eastAsia="en-US"/>
    </w:rPr>
  </w:style>
  <w:style w:type="character" w:styleId="Accentuation">
    <w:name w:val="Emphasis"/>
    <w:basedOn w:val="Policepardfaut"/>
    <w:uiPriority w:val="20"/>
    <w:qFormat/>
    <w:rsid w:val="00DD4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1696">
      <w:bodyDiv w:val="1"/>
      <w:marLeft w:val="0"/>
      <w:marRight w:val="0"/>
      <w:marTop w:val="0"/>
      <w:marBottom w:val="0"/>
      <w:divBdr>
        <w:top w:val="none" w:sz="0" w:space="0" w:color="auto"/>
        <w:left w:val="none" w:sz="0" w:space="0" w:color="auto"/>
        <w:bottom w:val="none" w:sz="0" w:space="0" w:color="auto"/>
        <w:right w:val="none" w:sz="0" w:space="0" w:color="auto"/>
      </w:divBdr>
      <w:divsChild>
        <w:div w:id="491335327">
          <w:marLeft w:val="0"/>
          <w:marRight w:val="0"/>
          <w:marTop w:val="0"/>
          <w:marBottom w:val="0"/>
          <w:divBdr>
            <w:top w:val="none" w:sz="0" w:space="0" w:color="auto"/>
            <w:left w:val="none" w:sz="0" w:space="0" w:color="auto"/>
            <w:bottom w:val="none" w:sz="0" w:space="0" w:color="auto"/>
            <w:right w:val="none" w:sz="0" w:space="0" w:color="auto"/>
          </w:divBdr>
        </w:div>
        <w:div w:id="742995735">
          <w:marLeft w:val="0"/>
          <w:marRight w:val="0"/>
          <w:marTop w:val="0"/>
          <w:marBottom w:val="0"/>
          <w:divBdr>
            <w:top w:val="none" w:sz="0" w:space="0" w:color="auto"/>
            <w:left w:val="none" w:sz="0" w:space="0" w:color="auto"/>
            <w:bottom w:val="none" w:sz="0" w:space="0" w:color="auto"/>
            <w:right w:val="none" w:sz="0" w:space="0" w:color="auto"/>
          </w:divBdr>
        </w:div>
        <w:div w:id="395783382">
          <w:marLeft w:val="0"/>
          <w:marRight w:val="0"/>
          <w:marTop w:val="0"/>
          <w:marBottom w:val="0"/>
          <w:divBdr>
            <w:top w:val="none" w:sz="0" w:space="0" w:color="auto"/>
            <w:left w:val="none" w:sz="0" w:space="0" w:color="auto"/>
            <w:bottom w:val="none" w:sz="0" w:space="0" w:color="auto"/>
            <w:right w:val="none" w:sz="0" w:space="0" w:color="auto"/>
          </w:divBdr>
        </w:div>
        <w:div w:id="8017709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ms.revues.org/117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1279</Words>
  <Characters>7038</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Toulouse Jean Jaurès</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AIT-ALI Cedric</dc:creator>
  <cp:lastModifiedBy>Cédric Ait-Ali</cp:lastModifiedBy>
  <cp:revision>3</cp:revision>
  <dcterms:created xsi:type="dcterms:W3CDTF">2016-01-29T12:18:00Z</dcterms:created>
  <dcterms:modified xsi:type="dcterms:W3CDTF">2016-01-29T13:09:00Z</dcterms:modified>
</cp:coreProperties>
</file>