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A0C" w:rsidRPr="007803B8" w:rsidRDefault="0001729B" w:rsidP="00073E5A">
      <w:pPr>
        <w:pBdr>
          <w:top w:val="single" w:sz="4" w:space="1" w:color="auto"/>
          <w:left w:val="single" w:sz="4" w:space="4" w:color="auto"/>
          <w:bottom w:val="single" w:sz="4" w:space="1" w:color="auto"/>
          <w:right w:val="single" w:sz="4" w:space="4" w:color="auto"/>
        </w:pBdr>
        <w:spacing w:after="0" w:line="240" w:lineRule="auto"/>
        <w:jc w:val="center"/>
        <w:rPr>
          <w:b/>
        </w:rPr>
      </w:pPr>
      <w:proofErr w:type="gramStart"/>
      <w:r w:rsidRPr="0001729B">
        <w:rPr>
          <w:b/>
        </w:rPr>
        <w:t>L’ enseignement</w:t>
      </w:r>
      <w:proofErr w:type="gramEnd"/>
      <w:r w:rsidRPr="0001729B">
        <w:rPr>
          <w:b/>
        </w:rPr>
        <w:t xml:space="preserve"> de la compréhension en lecture en FWB </w:t>
      </w:r>
      <w:r w:rsidR="00880B56" w:rsidRPr="0001729B">
        <w:rPr>
          <w:b/>
        </w:rPr>
        <w:t xml:space="preserve">: </w:t>
      </w:r>
      <w:r w:rsidR="00880B56">
        <w:rPr>
          <w:b/>
        </w:rPr>
        <w:t xml:space="preserve">l’éclairage des données </w:t>
      </w:r>
      <w:r w:rsidR="001548F6">
        <w:rPr>
          <w:b/>
        </w:rPr>
        <w:t>de l’</w:t>
      </w:r>
      <w:r w:rsidR="00880B56">
        <w:rPr>
          <w:b/>
        </w:rPr>
        <w:t>enquête internationale en lecture menée en 4</w:t>
      </w:r>
      <w:r w:rsidR="00880B56" w:rsidRPr="00880B56">
        <w:rPr>
          <w:b/>
          <w:vertAlign w:val="superscript"/>
        </w:rPr>
        <w:t>e</w:t>
      </w:r>
      <w:r w:rsidR="00880B56">
        <w:rPr>
          <w:b/>
        </w:rPr>
        <w:t xml:space="preserve"> primaire (</w:t>
      </w:r>
      <w:proofErr w:type="spellStart"/>
      <w:r w:rsidR="00880B56">
        <w:rPr>
          <w:b/>
        </w:rPr>
        <w:t>Pirls</w:t>
      </w:r>
      <w:proofErr w:type="spellEnd"/>
      <w:r w:rsidR="00880B56">
        <w:rPr>
          <w:b/>
        </w:rPr>
        <w:t>, 2011)</w:t>
      </w:r>
    </w:p>
    <w:p w:rsidR="00F33A0C" w:rsidRPr="00880B56" w:rsidRDefault="00F33A0C" w:rsidP="00F33A0C">
      <w:pPr>
        <w:spacing w:after="0" w:line="240" w:lineRule="auto"/>
        <w:rPr>
          <w:lang w:val="en-US"/>
        </w:rPr>
      </w:pPr>
    </w:p>
    <w:p w:rsidR="00F44759" w:rsidRDefault="00D1037E" w:rsidP="008C2F42">
      <w:pPr>
        <w:spacing w:after="0" w:line="240" w:lineRule="auto"/>
        <w:jc w:val="both"/>
      </w:pPr>
      <w:r w:rsidRPr="008C2F42">
        <w:t xml:space="preserve">En </w:t>
      </w:r>
      <w:r w:rsidR="00880B56">
        <w:t xml:space="preserve">avril </w:t>
      </w:r>
      <w:r w:rsidRPr="008C2F42">
        <w:t>2011, un échantillon d</w:t>
      </w:r>
      <w:r w:rsidR="00F33A0C" w:rsidRPr="008C2F42">
        <w:t>e 3</w:t>
      </w:r>
      <w:r w:rsidR="00012692">
        <w:t> </w:t>
      </w:r>
      <w:r w:rsidR="00F33A0C" w:rsidRPr="008C2F42">
        <w:t xml:space="preserve">916 </w:t>
      </w:r>
      <w:r w:rsidRPr="008C2F42">
        <w:t>élèves de 4</w:t>
      </w:r>
      <w:r w:rsidRPr="003057BF">
        <w:rPr>
          <w:vertAlign w:val="superscript"/>
        </w:rPr>
        <w:t>e</w:t>
      </w:r>
      <w:r w:rsidRPr="008C2F42">
        <w:t xml:space="preserve"> année primaire de la Fédération Wallonie Bruxelles ont participé à l’enquête PIRLS (Progress in International Reading </w:t>
      </w:r>
      <w:proofErr w:type="spellStart"/>
      <w:r w:rsidRPr="008C2F42">
        <w:t>Literacy</w:t>
      </w:r>
      <w:proofErr w:type="spellEnd"/>
      <w:r w:rsidRPr="008C2F42">
        <w:t xml:space="preserve"> </w:t>
      </w:r>
      <w:proofErr w:type="spellStart"/>
      <w:r w:rsidRPr="008C2F42">
        <w:t>Study</w:t>
      </w:r>
      <w:proofErr w:type="spellEnd"/>
      <w:r w:rsidRPr="008C2F42">
        <w:t xml:space="preserve"> - Programme international sur le développement des compétences en lecture). Cette étude, </w:t>
      </w:r>
      <w:r w:rsidR="003057BF">
        <w:t>menée par l’Association i</w:t>
      </w:r>
      <w:r w:rsidR="00F44759" w:rsidRPr="008C2F42">
        <w:t xml:space="preserve">nternationale pour l’Évaluation du Rendement scolaire </w:t>
      </w:r>
      <w:r w:rsidRPr="008C2F42">
        <w:t>(</w:t>
      </w:r>
      <w:r w:rsidR="00F44759" w:rsidRPr="008C2F42">
        <w:t>I.E.A</w:t>
      </w:r>
      <w:r w:rsidR="00F44759" w:rsidRPr="005D7455">
        <w:rPr>
          <w:vertAlign w:val="superscript"/>
        </w:rPr>
        <w:footnoteReference w:id="1"/>
      </w:r>
      <w:r w:rsidRPr="008C2F42">
        <w:t>)</w:t>
      </w:r>
      <w:r w:rsidR="00F44759" w:rsidRPr="008C2F42">
        <w:t xml:space="preserve">, a pour but d’évaluer les compétences en lecture des élèves à un même moment de leur scolarisation, à travers </w:t>
      </w:r>
      <w:r w:rsidR="00880B56">
        <w:t>un ensemble de</w:t>
      </w:r>
      <w:r w:rsidR="00F44759" w:rsidRPr="008C2F42">
        <w:t xml:space="preserve"> pays. </w:t>
      </w:r>
      <w:r w:rsidR="00880B56">
        <w:t xml:space="preserve">Au total, </w:t>
      </w:r>
      <w:r w:rsidR="00880B56" w:rsidRPr="008C2F42">
        <w:t xml:space="preserve">58 systèmes éducatifs </w:t>
      </w:r>
      <w:r w:rsidR="00880B56">
        <w:t>ont pr</w:t>
      </w:r>
      <w:r w:rsidR="00CE094B">
        <w:t>is part à ce</w:t>
      </w:r>
      <w:r w:rsidR="00880B56">
        <w:t xml:space="preserve"> </w:t>
      </w:r>
      <w:r w:rsidRPr="008C2F42">
        <w:t>cycle d’évaluation</w:t>
      </w:r>
      <w:r w:rsidR="00880B56">
        <w:t xml:space="preserve">. </w:t>
      </w:r>
    </w:p>
    <w:p w:rsidR="00F96AAE" w:rsidRDefault="00F96AAE" w:rsidP="008C2F42">
      <w:pPr>
        <w:spacing w:after="0" w:line="240" w:lineRule="auto"/>
        <w:jc w:val="both"/>
      </w:pPr>
    </w:p>
    <w:p w:rsidR="00F96AAE" w:rsidRDefault="00F96AAE" w:rsidP="00F96AAE">
      <w:pPr>
        <w:spacing w:after="0" w:line="240" w:lineRule="auto"/>
        <w:jc w:val="both"/>
      </w:pPr>
      <w:r>
        <w:t>Dans le cadre de référence élaboré par les concepteurs de l’étude PIRLS</w:t>
      </w:r>
      <w:r w:rsidRPr="005D7455">
        <w:rPr>
          <w:vertAlign w:val="superscript"/>
        </w:rPr>
        <w:footnoteReference w:id="2"/>
      </w:r>
      <w:r>
        <w:t xml:space="preserve">, la </w:t>
      </w:r>
      <w:proofErr w:type="spellStart"/>
      <w:r>
        <w:t>littératie</w:t>
      </w:r>
      <w:proofErr w:type="spellEnd"/>
      <w:r>
        <w:t>, qui est le principal objet d’étude est définie comme « la capacité de comprendre et d’utiliser les formes du langage écrit requises par la société ou valorisées par l’individu ». Depuis 2006, cette définition de la lecture a été élargie de manière à intégrer l’importance de la diversité des expériences de lecture que l’élève peut vivre, que ce soit à l’école ou dans sa vie quotidienne.</w:t>
      </w:r>
      <w:r w:rsidR="001548F6">
        <w:t xml:space="preserve"> </w:t>
      </w:r>
      <w:r>
        <w:t>Ceux-ci lisent en effet pour apprendre, pour prendre part à une communauté de lecteurs à l’école ou dans leur vie quotidienne, ou pour se divertir. Cette définition envisage la lecture comme un proc</w:t>
      </w:r>
      <w:bookmarkStart w:id="0" w:name="_GoBack"/>
      <w:bookmarkEnd w:id="0"/>
      <w:r>
        <w:t xml:space="preserve">essus actif et interactionnel (Alexander &amp; </w:t>
      </w:r>
      <w:proofErr w:type="spellStart"/>
      <w:r>
        <w:t>Jetton</w:t>
      </w:r>
      <w:proofErr w:type="spellEnd"/>
      <w:r>
        <w:t xml:space="preserve">, 2000 ; Anderson &amp; Pearson, 1984 ; </w:t>
      </w:r>
      <w:proofErr w:type="spellStart"/>
      <w:r>
        <w:t>Chall</w:t>
      </w:r>
      <w:proofErr w:type="spellEnd"/>
      <w:r>
        <w:t xml:space="preserve">, 1983 ; </w:t>
      </w:r>
      <w:proofErr w:type="spellStart"/>
      <w:r>
        <w:t>Ruddell</w:t>
      </w:r>
      <w:proofErr w:type="spellEnd"/>
      <w:r>
        <w:t xml:space="preserve"> &amp; </w:t>
      </w:r>
      <w:proofErr w:type="spellStart"/>
      <w:r>
        <w:t>Unrau</w:t>
      </w:r>
      <w:proofErr w:type="spellEnd"/>
      <w:r>
        <w:t>, 2004 ; Walter, 1999).</w:t>
      </w:r>
    </w:p>
    <w:p w:rsidR="00F96AAE" w:rsidRDefault="00F96AAE" w:rsidP="00F96AAE">
      <w:pPr>
        <w:spacing w:after="0" w:line="240" w:lineRule="auto"/>
        <w:jc w:val="both"/>
      </w:pPr>
    </w:p>
    <w:p w:rsidR="00F96AAE" w:rsidRPr="00BE138C" w:rsidRDefault="0001729B" w:rsidP="00F96AAE">
      <w:pPr>
        <w:spacing w:after="0" w:line="240" w:lineRule="auto"/>
        <w:jc w:val="both"/>
      </w:pPr>
      <w:bookmarkStart w:id="1" w:name="_Toc350160773"/>
      <w:bookmarkStart w:id="2" w:name="_Toc350174157"/>
      <w:r>
        <w:t>L</w:t>
      </w:r>
      <w:r w:rsidR="00F96AAE">
        <w:t xml:space="preserve">’analyse du cadre conceptuel de cette enquête </w:t>
      </w:r>
      <w:r>
        <w:t>envisage</w:t>
      </w:r>
      <w:r w:rsidR="00F96AAE">
        <w:t xml:space="preserve"> la </w:t>
      </w:r>
      <w:r w:rsidR="00F96AAE" w:rsidRPr="00880B56">
        <w:t>lecture en 4</w:t>
      </w:r>
      <w:r w:rsidR="00F96AAE" w:rsidRPr="007803B8">
        <w:rPr>
          <w:vertAlign w:val="superscript"/>
        </w:rPr>
        <w:t>e</w:t>
      </w:r>
      <w:r w:rsidR="00F96AAE">
        <w:t xml:space="preserve"> année primaire comme</w:t>
      </w:r>
      <w:r w:rsidR="00F96AAE" w:rsidRPr="00880B56">
        <w:t xml:space="preserve"> une compétence en construction</w:t>
      </w:r>
      <w:bookmarkStart w:id="3" w:name="_Toc350160774"/>
      <w:bookmarkStart w:id="4" w:name="_Toc350174158"/>
      <w:bookmarkEnd w:id="1"/>
      <w:bookmarkEnd w:id="2"/>
      <w:r w:rsidR="00F96AAE">
        <w:t xml:space="preserve"> </w:t>
      </w:r>
      <w:r w:rsidR="00F96AAE" w:rsidRPr="00880B56">
        <w:t xml:space="preserve">définie par la maitrise progressive de quatre processus de compréhension </w:t>
      </w:r>
      <w:bookmarkStart w:id="5" w:name="_Toc350160775"/>
      <w:bookmarkStart w:id="6" w:name="_Toc350174159"/>
      <w:bookmarkEnd w:id="3"/>
      <w:bookmarkEnd w:id="4"/>
      <w:r w:rsidR="00F96AAE" w:rsidRPr="00880B56">
        <w:t>à mobiliser en fonction d’objectifs de lecture différents</w:t>
      </w:r>
      <w:bookmarkStart w:id="7" w:name="_Toc350160776"/>
      <w:bookmarkStart w:id="8" w:name="_Toc350174160"/>
      <w:bookmarkEnd w:id="5"/>
      <w:bookmarkEnd w:id="6"/>
      <w:r w:rsidR="00F96AAE" w:rsidRPr="00880B56">
        <w:t xml:space="preserve"> </w:t>
      </w:r>
      <w:r w:rsidR="00F96AAE">
        <w:t xml:space="preserve">et </w:t>
      </w:r>
      <w:r w:rsidR="00F96AAE" w:rsidRPr="00880B56">
        <w:t xml:space="preserve">face à </w:t>
      </w:r>
      <w:r w:rsidR="001548F6">
        <w:t xml:space="preserve">des </w:t>
      </w:r>
      <w:r w:rsidR="00F96AAE" w:rsidRPr="00880B56">
        <w:t>textes d’envergure</w:t>
      </w:r>
      <w:bookmarkEnd w:id="7"/>
      <w:bookmarkEnd w:id="8"/>
      <w:r w:rsidR="005F0953">
        <w:t>s</w:t>
      </w:r>
      <w:r w:rsidR="00F96AAE">
        <w:t xml:space="preserve">. L’évaluation des compétences de lecture repose </w:t>
      </w:r>
      <w:r>
        <w:t>donc</w:t>
      </w:r>
      <w:r w:rsidR="00F96AAE">
        <w:t xml:space="preserve"> sur la maitrise de quatre processus de compréhension évalués à la fois sur des textes à visée informative et à visée littéraire. Ces quatre processus (retrouver et prélever des informations explicites ; faire des inférences simples ; interpréter et intégrer des idées et des informations</w:t>
      </w:r>
      <w:r w:rsidR="001548F6">
        <w:t xml:space="preserve"> </w:t>
      </w:r>
      <w:r w:rsidR="00F96AAE">
        <w:t xml:space="preserve">et examiner et évaluer le contenu, la langue et les éléments textuels) sont à mobiliser en fonction de deux </w:t>
      </w:r>
      <w:r w:rsidR="00F96AAE" w:rsidRPr="00880B56">
        <w:t>objectifs de lecture</w:t>
      </w:r>
      <w:r w:rsidR="00F96AAE">
        <w:t xml:space="preserve"> différents : </w:t>
      </w:r>
      <w:r w:rsidR="00F96AAE" w:rsidRPr="00BE138C">
        <w:rPr>
          <w:bCs/>
        </w:rPr>
        <w:t>lire pour l’expérience littéraire</w:t>
      </w:r>
      <w:r w:rsidR="001548F6">
        <w:rPr>
          <w:bCs/>
        </w:rPr>
        <w:t xml:space="preserve"> </w:t>
      </w:r>
      <w:r w:rsidR="00F96AAE" w:rsidRPr="00BE138C">
        <w:t>et lire pour acquérir et utiliser de l’information.</w:t>
      </w:r>
    </w:p>
    <w:p w:rsidR="00F96AAE" w:rsidRPr="008C2F42" w:rsidRDefault="00F96AAE" w:rsidP="008C2F42">
      <w:pPr>
        <w:spacing w:after="0" w:line="240" w:lineRule="auto"/>
        <w:jc w:val="both"/>
      </w:pPr>
    </w:p>
    <w:p w:rsidR="00F44759" w:rsidRDefault="00CE094B" w:rsidP="008C2F42">
      <w:pPr>
        <w:spacing w:after="0" w:line="240" w:lineRule="auto"/>
        <w:jc w:val="both"/>
      </w:pPr>
      <w:r>
        <w:t xml:space="preserve">L’un des </w:t>
      </w:r>
      <w:r w:rsidR="00F44759" w:rsidRPr="00CF539B">
        <w:t>objectif</w:t>
      </w:r>
      <w:r>
        <w:t>s</w:t>
      </w:r>
      <w:r w:rsidR="00F44759" w:rsidRPr="00CF539B">
        <w:t xml:space="preserve"> de </w:t>
      </w:r>
      <w:r>
        <w:t xml:space="preserve">cette </w:t>
      </w:r>
      <w:r w:rsidR="00F44759" w:rsidRPr="00CF539B">
        <w:t xml:space="preserve">étude est </w:t>
      </w:r>
      <w:r w:rsidR="006928DA">
        <w:t xml:space="preserve">d’évaluer le produit de la lecture pour </w:t>
      </w:r>
      <w:r w:rsidR="00F11080">
        <w:t>déterminer</w:t>
      </w:r>
      <w:r w:rsidR="00F44759" w:rsidRPr="00CF539B">
        <w:t xml:space="preserve"> le niveau de compétences en lecture des élèves</w:t>
      </w:r>
      <w:r>
        <w:t xml:space="preserve">. Plus largement, l’étude vise également à </w:t>
      </w:r>
      <w:r w:rsidR="00F44759" w:rsidRPr="00CF539B">
        <w:t>appréhender de la manière la plus fine et la plus complète possible les éléments de</w:t>
      </w:r>
      <w:r w:rsidR="00F44759">
        <w:t>s</w:t>
      </w:r>
      <w:r w:rsidR="00F44759" w:rsidRPr="00CF539B">
        <w:t xml:space="preserve"> contexte</w:t>
      </w:r>
      <w:r w:rsidR="00F44759">
        <w:t>s</w:t>
      </w:r>
      <w:r w:rsidR="00F44759" w:rsidRPr="00CF539B">
        <w:t xml:space="preserve"> culturels, socioéconomiques, pédagogiques, familiaux et individuels </w:t>
      </w:r>
      <w:r>
        <w:t xml:space="preserve">pouvant être </w:t>
      </w:r>
      <w:r w:rsidR="00F44759" w:rsidRPr="00CF539B">
        <w:t xml:space="preserve">liés aux performances observées entre </w:t>
      </w:r>
      <w:r w:rsidR="00F44759">
        <w:t xml:space="preserve">les </w:t>
      </w:r>
      <w:r w:rsidR="00F44759" w:rsidRPr="00CF539B">
        <w:t xml:space="preserve">pays et </w:t>
      </w:r>
      <w:r w:rsidR="00BE138C">
        <w:t>au sein</w:t>
      </w:r>
      <w:r w:rsidR="00BE138C" w:rsidRPr="00CF539B">
        <w:t xml:space="preserve"> </w:t>
      </w:r>
      <w:r w:rsidR="00BE138C">
        <w:t>des pays</w:t>
      </w:r>
      <w:r>
        <w:t xml:space="preserve">. </w:t>
      </w:r>
      <w:r w:rsidRPr="00CF539B">
        <w:t xml:space="preserve">C‘est pourquoi </w:t>
      </w:r>
      <w:r>
        <w:t>l’étude PIRLS</w:t>
      </w:r>
      <w:r w:rsidRPr="00CF539B">
        <w:t xml:space="preserve"> recueille des informations sur les écoles</w:t>
      </w:r>
      <w:r>
        <w:t xml:space="preserve">, </w:t>
      </w:r>
      <w:r w:rsidRPr="00CF539B">
        <w:t>les classes</w:t>
      </w:r>
      <w:r>
        <w:t xml:space="preserve"> et les contextes éducatifs</w:t>
      </w:r>
      <w:r w:rsidRPr="00CF539B">
        <w:t xml:space="preserve"> par le biais de questionnaires adressés aux différents </w:t>
      </w:r>
      <w:r>
        <w:t>acteurs du monde scolaire</w:t>
      </w:r>
      <w:r w:rsidRPr="00CF539B">
        <w:t xml:space="preserve"> : élèves, </w:t>
      </w:r>
      <w:r>
        <w:t xml:space="preserve">parents, </w:t>
      </w:r>
      <w:r w:rsidRPr="00CF539B">
        <w:t xml:space="preserve">enseignants et </w:t>
      </w:r>
      <w:r>
        <w:t>directeurs</w:t>
      </w:r>
      <w:r w:rsidRPr="00CF539B">
        <w:t>.</w:t>
      </w:r>
      <w:r>
        <w:t xml:space="preserve"> Envisagés comme des</w:t>
      </w:r>
      <w:r w:rsidR="00F44759" w:rsidRPr="00CF539B">
        <w:t xml:space="preserve"> leviers potentiels pour améliorer les compétences des élèves</w:t>
      </w:r>
      <w:r>
        <w:t xml:space="preserve">, ces éléments d’information permettent d’aller </w:t>
      </w:r>
      <w:r w:rsidR="00F96AAE">
        <w:t xml:space="preserve">bien </w:t>
      </w:r>
      <w:r>
        <w:t>au-delà des traditionnels classements internationaux peu intéressant</w:t>
      </w:r>
      <w:r w:rsidR="00F96AAE">
        <w:t>s</w:t>
      </w:r>
      <w:r>
        <w:t xml:space="preserve"> pour les professionnels de terrain</w:t>
      </w:r>
      <w:r w:rsidR="00F44759" w:rsidRPr="00CF539B">
        <w:t xml:space="preserve">. </w:t>
      </w:r>
    </w:p>
    <w:p w:rsidR="005D7455" w:rsidRDefault="005D7455" w:rsidP="008C2F42">
      <w:pPr>
        <w:spacing w:after="0" w:line="240" w:lineRule="auto"/>
        <w:jc w:val="both"/>
      </w:pPr>
    </w:p>
    <w:p w:rsidR="00F44759" w:rsidRDefault="00CE643D" w:rsidP="00F44759">
      <w:pPr>
        <w:spacing w:after="0" w:line="240" w:lineRule="auto"/>
        <w:jc w:val="both"/>
      </w:pPr>
      <w:r>
        <w:t xml:space="preserve">Pour tenter de cerner les </w:t>
      </w:r>
      <w:r w:rsidR="00F11080">
        <w:t xml:space="preserve">facteurs agissant sur l’efficacité du système scolaire, </w:t>
      </w:r>
      <w:r w:rsidR="00F44759">
        <w:t xml:space="preserve">les résultats des élèves </w:t>
      </w:r>
      <w:r>
        <w:t xml:space="preserve">sont </w:t>
      </w:r>
      <w:r w:rsidR="00F96AAE">
        <w:t xml:space="preserve">dès lors </w:t>
      </w:r>
      <w:r>
        <w:t xml:space="preserve">mis en lien </w:t>
      </w:r>
      <w:r w:rsidR="00F44759">
        <w:t>avec les caractéristiques des programmes, des pratiques d’enseignement</w:t>
      </w:r>
      <w:r w:rsidR="00F11080">
        <w:t xml:space="preserve">, </w:t>
      </w:r>
      <w:r w:rsidR="00F44759">
        <w:t xml:space="preserve">de l’environnement scolaire et familial </w:t>
      </w:r>
      <w:r w:rsidR="00076688">
        <w:t xml:space="preserve">des élèves scolarisés dans les </w:t>
      </w:r>
      <w:r w:rsidR="00F44759">
        <w:t>différents pays</w:t>
      </w:r>
      <w:r w:rsidR="00076688">
        <w:t xml:space="preserve"> participants</w:t>
      </w:r>
      <w:r w:rsidR="001548F6">
        <w:t>.</w:t>
      </w:r>
      <w:r w:rsidR="00F44759">
        <w:t xml:space="preserve"> L’importante variation constatée </w:t>
      </w:r>
      <w:r w:rsidR="00076688">
        <w:t xml:space="preserve">notamment à </w:t>
      </w:r>
      <w:r w:rsidR="00F44759">
        <w:t xml:space="preserve">travers </w:t>
      </w:r>
      <w:r w:rsidR="00076688">
        <w:t xml:space="preserve">les pays </w:t>
      </w:r>
      <w:r w:rsidR="00076688" w:rsidRPr="00BE138C">
        <w:t>membres de l’</w:t>
      </w:r>
      <w:proofErr w:type="spellStart"/>
      <w:r w:rsidR="00076688" w:rsidRPr="00BE138C">
        <w:t>Ocdé</w:t>
      </w:r>
      <w:proofErr w:type="spellEnd"/>
      <w:r w:rsidR="00076688" w:rsidRPr="00BE138C">
        <w:t xml:space="preserve"> et/ou de l’Union européenne</w:t>
      </w:r>
      <w:r w:rsidR="00076688" w:rsidDel="00076688">
        <w:t xml:space="preserve"> </w:t>
      </w:r>
      <w:r w:rsidR="00F11080">
        <w:t xml:space="preserve">conduit à </w:t>
      </w:r>
      <w:r w:rsidR="00F44759">
        <w:t xml:space="preserve">examiner les différences de pratiques d’enseignement, et </w:t>
      </w:r>
      <w:r w:rsidR="00F11080">
        <w:t xml:space="preserve">à </w:t>
      </w:r>
      <w:r w:rsidR="00F44759">
        <w:t xml:space="preserve">tirer profit de ces </w:t>
      </w:r>
      <w:proofErr w:type="gramStart"/>
      <w:r w:rsidR="00F44759">
        <w:lastRenderedPageBreak/>
        <w:t>données</w:t>
      </w:r>
      <w:proofErr w:type="gramEnd"/>
      <w:r w:rsidR="00F44759">
        <w:t xml:space="preserve"> comparatives pour améliorer le</w:t>
      </w:r>
      <w:r w:rsidR="00F11080">
        <w:t xml:space="preserve"> niveau </w:t>
      </w:r>
      <w:r w:rsidR="001548F6">
        <w:t>de</w:t>
      </w:r>
      <w:r w:rsidR="00F44759">
        <w:t xml:space="preserve"> compétences des élèves au sein de chaque système.</w:t>
      </w:r>
      <w:r w:rsidR="00D1037E">
        <w:t xml:space="preserve"> </w:t>
      </w:r>
      <w:r w:rsidR="00F96AAE">
        <w:t>Notre</w:t>
      </w:r>
      <w:r w:rsidR="00E86F32">
        <w:t xml:space="preserve"> </w:t>
      </w:r>
      <w:r w:rsidR="0001729B">
        <w:t>présentation</w:t>
      </w:r>
      <w:r w:rsidR="00E86F32">
        <w:t xml:space="preserve"> </w:t>
      </w:r>
      <w:r w:rsidR="00076688">
        <w:t>vise</w:t>
      </w:r>
      <w:r w:rsidR="00F96AAE">
        <w:t>ra</w:t>
      </w:r>
      <w:r w:rsidR="00076688">
        <w:t xml:space="preserve"> à examiner les </w:t>
      </w:r>
      <w:r w:rsidR="00E86F32">
        <w:t xml:space="preserve">pratiques pédagogiques </w:t>
      </w:r>
      <w:r w:rsidR="00F96AAE">
        <w:t>lié</w:t>
      </w:r>
      <w:r w:rsidR="001548F6">
        <w:t>es</w:t>
      </w:r>
      <w:r w:rsidR="00F96AAE">
        <w:t xml:space="preserve"> à la lecture </w:t>
      </w:r>
      <w:r w:rsidR="00076688">
        <w:t>en FWB</w:t>
      </w:r>
      <w:proofErr w:type="gramStart"/>
      <w:r w:rsidR="0001729B">
        <w:t>,</w:t>
      </w:r>
      <w:r w:rsidR="00076688">
        <w:t xml:space="preserve"> </w:t>
      </w:r>
      <w:r w:rsidR="0001729B">
        <w:t>,</w:t>
      </w:r>
      <w:proofErr w:type="gramEnd"/>
      <w:r w:rsidR="0001729B">
        <w:t xml:space="preserve"> </w:t>
      </w:r>
      <w:r w:rsidR="00076688">
        <w:t xml:space="preserve">à la lumière de celles observées </w:t>
      </w:r>
      <w:r w:rsidR="003057BF">
        <w:t xml:space="preserve">dans les pays </w:t>
      </w:r>
      <w:r w:rsidR="00F96AAE">
        <w:t xml:space="preserve">qui apparaissent les </w:t>
      </w:r>
      <w:r w:rsidR="003057BF">
        <w:t>plus performants</w:t>
      </w:r>
      <w:r w:rsidR="00F96AAE">
        <w:t xml:space="preserve"> au regard des résultats obtenus à l’étude PIRLS</w:t>
      </w:r>
      <w:r w:rsidR="003057BF">
        <w:t>.</w:t>
      </w:r>
    </w:p>
    <w:p w:rsidR="00F33A0C" w:rsidRDefault="00F33A0C" w:rsidP="00F44759">
      <w:pPr>
        <w:spacing w:after="0" w:line="240" w:lineRule="auto"/>
        <w:jc w:val="both"/>
      </w:pPr>
    </w:p>
    <w:p w:rsidR="00706177" w:rsidRDefault="00F96AAE" w:rsidP="008C2F42">
      <w:pPr>
        <w:spacing w:after="0" w:line="240" w:lineRule="auto"/>
        <w:jc w:val="both"/>
      </w:pPr>
      <w:r>
        <w:t>Les</w:t>
      </w:r>
      <w:r w:rsidR="00F33A0C">
        <w:t xml:space="preserve"> résultats </w:t>
      </w:r>
      <w:r>
        <w:t xml:space="preserve">de nos analyses </w:t>
      </w:r>
      <w:r w:rsidR="00F33A0C">
        <w:t xml:space="preserve">montrent </w:t>
      </w:r>
      <w:r>
        <w:t xml:space="preserve">en effet </w:t>
      </w:r>
      <w:r w:rsidR="00F33A0C">
        <w:t xml:space="preserve">que comparativement aux élèves testés dans les </w:t>
      </w:r>
      <w:r w:rsidR="003057BF">
        <w:t>p</w:t>
      </w:r>
      <w:r w:rsidR="00F33A0C">
        <w:t>ays de référence (</w:t>
      </w:r>
      <w:r w:rsidR="00F33A0C" w:rsidRPr="008C2F42">
        <w:t>sous-ensemble de pays comparables</w:t>
      </w:r>
      <w:r w:rsidR="00CE643D">
        <w:t xml:space="preserve"> à la FWB)</w:t>
      </w:r>
      <w:r w:rsidR="00F33A0C">
        <w:t>, les performances de nos élèves apparaissent parmi les plus faibles.</w:t>
      </w:r>
      <w:r w:rsidR="003B1200">
        <w:t xml:space="preserve"> La FWB est en effet en queue de peloton, aux côtés de la Roumanie, de la Norvège et de l’Espagne, trois pays dont les résultats globaux ne diffèrent pas significativement du nôtre. Parmi les pays qui obtiennent les performances moyennes les plus élevées, on retrouve la Finlande, l’Irlande du Nord, les États-Unis, le Danemark, le Canada (Ontario), l’Angleterre et l’Irlande. On peut donc s’interroger quant aux pratiques mobilisées par les enseignants dans ces </w:t>
      </w:r>
      <w:r>
        <w:t xml:space="preserve">différents systèmes éducatifs. </w:t>
      </w:r>
      <w:r w:rsidR="008C2F42">
        <w:t>Grâce au</w:t>
      </w:r>
      <w:r w:rsidR="003057BF">
        <w:t>x</w:t>
      </w:r>
      <w:r w:rsidR="008C2F42">
        <w:t xml:space="preserve"> </w:t>
      </w:r>
      <w:r>
        <w:t xml:space="preserve">données recueillies auprès </w:t>
      </w:r>
      <w:proofErr w:type="gramStart"/>
      <w:r>
        <w:t xml:space="preserve">des </w:t>
      </w:r>
      <w:r w:rsidR="008C2F42">
        <w:t xml:space="preserve"> enseignants</w:t>
      </w:r>
      <w:proofErr w:type="gramEnd"/>
      <w:r w:rsidR="008C2F42">
        <w:t xml:space="preserve"> et </w:t>
      </w:r>
      <w:r>
        <w:t>des</w:t>
      </w:r>
      <w:r w:rsidR="008C2F42">
        <w:t xml:space="preserve"> élèves, d</w:t>
      </w:r>
      <w:r w:rsidR="003B1200">
        <w:t xml:space="preserve">ifférents </w:t>
      </w:r>
      <w:r w:rsidR="008C2F42">
        <w:t>angles d’approches sont</w:t>
      </w:r>
      <w:r w:rsidR="003057BF">
        <w:t xml:space="preserve"> possibles pou</w:t>
      </w:r>
      <w:r w:rsidR="008C2F42">
        <w:t>r analyser les pratiques de classe </w:t>
      </w:r>
      <w:r>
        <w:t>en matière de lecture</w:t>
      </w:r>
      <w:r w:rsidR="001548F6">
        <w:t> </w:t>
      </w:r>
      <w:r w:rsidR="008C2F42">
        <w:t xml:space="preserve">: les compétences visées par les activités de lecture, l’année scolaire à partir de laquelle les différentes compétences deviennent prioritaires, l’enseignement </w:t>
      </w:r>
      <w:r w:rsidR="0001729B">
        <w:t xml:space="preserve">explicite </w:t>
      </w:r>
      <w:r w:rsidR="008C2F42">
        <w:t>des stratégies de lecture mais également la mise en place de pratiques transactionnelle</w:t>
      </w:r>
      <w:r w:rsidR="00CE643D">
        <w:t>s</w:t>
      </w:r>
      <w:r w:rsidR="00CD4E4B">
        <w:t>. B</w:t>
      </w:r>
      <w:r w:rsidR="00A95FD8">
        <w:t xml:space="preserve">asées sur le concept de lecture transactionnelle développé par </w:t>
      </w:r>
      <w:proofErr w:type="spellStart"/>
      <w:r w:rsidR="00A95FD8">
        <w:t>Rosenblatt</w:t>
      </w:r>
      <w:proofErr w:type="spellEnd"/>
      <w:r w:rsidR="00A95FD8">
        <w:t xml:space="preserve"> (1978)</w:t>
      </w:r>
      <w:r w:rsidR="00CD4E4B">
        <w:t>, ces pratiques</w:t>
      </w:r>
      <w:r w:rsidR="00A95FD8">
        <w:t xml:space="preserve"> reconnaissent l’importance de l’activité dynamique, p</w:t>
      </w:r>
      <w:r w:rsidR="009E41B3">
        <w:t>ersonnelle et unique du lecteur</w:t>
      </w:r>
      <w:r w:rsidR="00A95FD8">
        <w:t xml:space="preserve"> et visent à développer des processus de lecture basés sur la mobilisation des attentes, des sentiments ou des souvenirs que lui suggère le texte</w:t>
      </w:r>
      <w:r w:rsidR="00706177">
        <w:t>.</w:t>
      </w:r>
      <w:r w:rsidR="00A95FD8">
        <w:t xml:space="preserve"> </w:t>
      </w:r>
      <w:r w:rsidR="009E41B3">
        <w:t>Combinées à des activité</w:t>
      </w:r>
      <w:r w:rsidR="001548F6">
        <w:t>s</w:t>
      </w:r>
      <w:r w:rsidR="009E41B3">
        <w:t xml:space="preserve"> d’enseignement explicite de la compréhension (Hébert, 2003 ; Hébert &amp; Lafontaine, 2013</w:t>
      </w:r>
      <w:r w:rsidR="00FF3C59">
        <w:t> ; Schillings &amp; Baye, 2013</w:t>
      </w:r>
      <w:r w:rsidR="009E41B3">
        <w:t xml:space="preserve">), ces pratiques </w:t>
      </w:r>
      <w:proofErr w:type="gramStart"/>
      <w:r w:rsidR="009E41B3">
        <w:t xml:space="preserve">transactionnelles </w:t>
      </w:r>
      <w:r w:rsidR="00A95FD8">
        <w:t xml:space="preserve"> constituent</w:t>
      </w:r>
      <w:proofErr w:type="gramEnd"/>
      <w:r w:rsidR="00A95FD8">
        <w:t xml:space="preserve"> un élément essentiel dans l’apprentissage de l’interprétation. </w:t>
      </w:r>
      <w:r w:rsidR="00F46863">
        <w:t>Si l’on veut tendre vers la régulation du système, i</w:t>
      </w:r>
      <w:r w:rsidR="00A95FD8">
        <w:t xml:space="preserve">l semble donc primordial </w:t>
      </w:r>
      <w:r w:rsidR="003A1DB0">
        <w:t xml:space="preserve">d’étudier conjointement les performances obtenues par nos élèves et les pratiques </w:t>
      </w:r>
      <w:r w:rsidR="00CD7F6A">
        <w:t>scolaires en matière de lectur</w:t>
      </w:r>
      <w:r w:rsidR="00F46863">
        <w:t xml:space="preserve">e en quatrième année primaire.  </w:t>
      </w:r>
    </w:p>
    <w:p w:rsidR="003B1200" w:rsidRDefault="003B1200" w:rsidP="003B1200">
      <w:pPr>
        <w:jc w:val="both"/>
      </w:pPr>
    </w:p>
    <w:p w:rsidR="00F33A0C" w:rsidRDefault="00F33A0C" w:rsidP="00F44759">
      <w:pPr>
        <w:spacing w:after="0" w:line="240" w:lineRule="auto"/>
        <w:jc w:val="both"/>
      </w:pPr>
    </w:p>
    <w:p w:rsidR="00F44759" w:rsidRPr="007803B8" w:rsidRDefault="005D7455" w:rsidP="00F44759">
      <w:pPr>
        <w:pStyle w:val="Body"/>
        <w:spacing w:before="0" w:after="0" w:line="240" w:lineRule="auto"/>
        <w:jc w:val="both"/>
        <w:rPr>
          <w:rFonts w:asciiTheme="minorHAnsi" w:eastAsiaTheme="minorHAnsi" w:hAnsiTheme="minorHAnsi" w:cstheme="minorHAnsi"/>
          <w:b/>
          <w:sz w:val="22"/>
          <w:szCs w:val="28"/>
          <w:u w:val="single"/>
          <w:lang w:val="fr-BE" w:eastAsia="en-US"/>
        </w:rPr>
      </w:pPr>
      <w:r w:rsidRPr="007803B8">
        <w:rPr>
          <w:rFonts w:asciiTheme="minorHAnsi" w:eastAsiaTheme="minorHAnsi" w:hAnsiTheme="minorHAnsi" w:cstheme="minorHAnsi"/>
          <w:b/>
          <w:sz w:val="22"/>
          <w:szCs w:val="28"/>
          <w:u w:val="single"/>
          <w:lang w:val="fr-BE" w:eastAsia="en-US"/>
        </w:rPr>
        <w:t>Bibliographie</w:t>
      </w:r>
    </w:p>
    <w:p w:rsidR="005D7455" w:rsidRPr="007803B8" w:rsidRDefault="005D7455" w:rsidP="00F44759">
      <w:pPr>
        <w:pStyle w:val="Body"/>
        <w:spacing w:before="0" w:after="0" w:line="240" w:lineRule="auto"/>
        <w:jc w:val="both"/>
        <w:rPr>
          <w:rFonts w:asciiTheme="minorHAnsi" w:eastAsiaTheme="minorHAnsi" w:hAnsiTheme="minorHAnsi" w:cstheme="minorHAnsi"/>
          <w:sz w:val="22"/>
          <w:szCs w:val="28"/>
          <w:lang w:val="fr-BE" w:eastAsia="en-US"/>
        </w:rPr>
      </w:pPr>
    </w:p>
    <w:p w:rsidR="005D7455" w:rsidRPr="00175011" w:rsidRDefault="005D7455" w:rsidP="005D7455">
      <w:pPr>
        <w:spacing w:line="240" w:lineRule="auto"/>
        <w:ind w:left="709" w:hanging="709"/>
        <w:jc w:val="both"/>
        <w:rPr>
          <w:lang w:val="en-US"/>
        </w:rPr>
      </w:pPr>
      <w:r w:rsidRPr="007803B8">
        <w:t xml:space="preserve">Alexander, P.A., &amp; </w:t>
      </w:r>
      <w:proofErr w:type="spellStart"/>
      <w:r w:rsidRPr="007803B8">
        <w:t>Jetton</w:t>
      </w:r>
      <w:proofErr w:type="spellEnd"/>
      <w:r w:rsidRPr="007803B8">
        <w:t xml:space="preserve">, T.L. (2000). </w:t>
      </w:r>
      <w:r w:rsidRPr="00042D90">
        <w:rPr>
          <w:lang w:val="en-US"/>
        </w:rPr>
        <w:t xml:space="preserve">Learning from text: A multidimensional and developmental </w:t>
      </w:r>
      <w:r w:rsidRPr="00175011">
        <w:rPr>
          <w:lang w:val="en-US"/>
        </w:rPr>
        <w:t xml:space="preserve">perspective. In M.L. </w:t>
      </w:r>
      <w:proofErr w:type="spellStart"/>
      <w:r w:rsidRPr="00175011">
        <w:rPr>
          <w:lang w:val="en-US"/>
        </w:rPr>
        <w:t>Kamil</w:t>
      </w:r>
      <w:proofErr w:type="spellEnd"/>
      <w:r w:rsidRPr="00175011">
        <w:rPr>
          <w:lang w:val="en-US"/>
        </w:rPr>
        <w:t xml:space="preserve">, P. </w:t>
      </w:r>
      <w:proofErr w:type="spellStart"/>
      <w:r w:rsidRPr="00175011">
        <w:rPr>
          <w:lang w:val="en-US"/>
        </w:rPr>
        <w:t>Mosenthal</w:t>
      </w:r>
      <w:proofErr w:type="spellEnd"/>
      <w:r w:rsidRPr="00175011">
        <w:rPr>
          <w:lang w:val="en-US"/>
        </w:rPr>
        <w:t xml:space="preserve">, P.D. Pearson, &amp; R. Barr (Eds.), </w:t>
      </w:r>
      <w:r w:rsidRPr="00175011">
        <w:rPr>
          <w:i/>
          <w:lang w:val="en-US"/>
        </w:rPr>
        <w:t xml:space="preserve">Handbook of reading research </w:t>
      </w:r>
      <w:r w:rsidRPr="00175011">
        <w:rPr>
          <w:lang w:val="en-US"/>
        </w:rPr>
        <w:t xml:space="preserve">(Vol. </w:t>
      </w:r>
      <w:r w:rsidRPr="007803B8">
        <w:rPr>
          <w:i/>
          <w:lang w:val="en-US"/>
        </w:rPr>
        <w:t>3</w:t>
      </w:r>
      <w:r w:rsidRPr="00175011">
        <w:rPr>
          <w:lang w:val="en-US"/>
        </w:rPr>
        <w:t>) (pp. 25-310). Mahwah, NJ: Lawrence Erlbaum Associates.</w:t>
      </w:r>
    </w:p>
    <w:p w:rsidR="005D7455" w:rsidRPr="00175011" w:rsidRDefault="005D7455" w:rsidP="005D7455">
      <w:pPr>
        <w:spacing w:line="240" w:lineRule="auto"/>
        <w:ind w:left="709" w:hanging="709"/>
        <w:jc w:val="both"/>
        <w:rPr>
          <w:lang w:val="en-US"/>
        </w:rPr>
      </w:pPr>
      <w:r w:rsidRPr="00175011">
        <w:rPr>
          <w:lang w:val="en-US"/>
        </w:rPr>
        <w:t xml:space="preserve">Anderson, R.C., &amp; Pearson, P.D. (1984). A schema-theoretic view of basic processes in reading comprehension. In P.D. Pearson (Ed.), </w:t>
      </w:r>
      <w:r w:rsidRPr="00175011">
        <w:rPr>
          <w:i/>
          <w:lang w:val="en-US"/>
        </w:rPr>
        <w:t xml:space="preserve">Handbook of reading research </w:t>
      </w:r>
      <w:r w:rsidRPr="00175011">
        <w:rPr>
          <w:lang w:val="en-US"/>
        </w:rPr>
        <w:t>(pp. 255-291). White Plains, NY: Longman.</w:t>
      </w:r>
    </w:p>
    <w:p w:rsidR="005D7455" w:rsidRDefault="005D7455" w:rsidP="005D7455">
      <w:pPr>
        <w:spacing w:line="240" w:lineRule="auto"/>
        <w:ind w:left="709" w:hanging="709"/>
        <w:jc w:val="both"/>
        <w:rPr>
          <w:lang w:val="en-US"/>
        </w:rPr>
      </w:pPr>
      <w:proofErr w:type="spellStart"/>
      <w:r w:rsidRPr="00175011">
        <w:rPr>
          <w:lang w:val="en-US"/>
        </w:rPr>
        <w:t>Chall</w:t>
      </w:r>
      <w:proofErr w:type="spellEnd"/>
      <w:r w:rsidRPr="00175011">
        <w:rPr>
          <w:lang w:val="en-US"/>
        </w:rPr>
        <w:t xml:space="preserve">, J. (1983). </w:t>
      </w:r>
      <w:r w:rsidRPr="00175011">
        <w:rPr>
          <w:i/>
          <w:lang w:val="en-US"/>
        </w:rPr>
        <w:t xml:space="preserve">Stages of reading development. </w:t>
      </w:r>
      <w:r w:rsidRPr="00175011">
        <w:rPr>
          <w:lang w:val="en-US"/>
        </w:rPr>
        <w:t xml:space="preserve">New York: Mc </w:t>
      </w:r>
      <w:proofErr w:type="spellStart"/>
      <w:r w:rsidRPr="00175011">
        <w:rPr>
          <w:lang w:val="en-US"/>
        </w:rPr>
        <w:t>Graw</w:t>
      </w:r>
      <w:proofErr w:type="spellEnd"/>
      <w:r w:rsidRPr="00175011">
        <w:rPr>
          <w:lang w:val="en-US"/>
        </w:rPr>
        <w:t xml:space="preserve">-Hill. </w:t>
      </w:r>
    </w:p>
    <w:p w:rsidR="009E41B3" w:rsidRDefault="009E41B3" w:rsidP="009E41B3">
      <w:pPr>
        <w:spacing w:line="240" w:lineRule="auto"/>
        <w:ind w:left="709" w:hanging="709"/>
        <w:jc w:val="both"/>
        <w:rPr>
          <w:lang w:val="en-US"/>
        </w:rPr>
      </w:pPr>
      <w:r w:rsidRPr="007803B8">
        <w:t xml:space="preserve">Hébert, M. (2003). </w:t>
      </w:r>
      <w:proofErr w:type="spellStart"/>
      <w:r w:rsidRPr="007803B8">
        <w:t>Coélaboration</w:t>
      </w:r>
      <w:proofErr w:type="spellEnd"/>
      <w:r w:rsidRPr="007803B8">
        <w:t xml:space="preserve"> du sens entre pairs en première secondaire : étude de la dynamique interactionnelle dans les cercles littéraires. </w:t>
      </w:r>
      <w:proofErr w:type="spellStart"/>
      <w:r w:rsidRPr="007803B8">
        <w:rPr>
          <w:i/>
          <w:lang w:val="en-US"/>
        </w:rPr>
        <w:t>Enjeux</w:t>
      </w:r>
      <w:proofErr w:type="spellEnd"/>
      <w:r w:rsidRPr="007803B8">
        <w:rPr>
          <w:i/>
          <w:lang w:val="en-US"/>
        </w:rPr>
        <w:t>, 58</w:t>
      </w:r>
      <w:r w:rsidRPr="009E41B3">
        <w:rPr>
          <w:lang w:val="en-US"/>
        </w:rPr>
        <w:t xml:space="preserve">, 95-115. </w:t>
      </w:r>
    </w:p>
    <w:p w:rsidR="00012692" w:rsidRPr="009E41B3" w:rsidRDefault="00012692" w:rsidP="00012692">
      <w:pPr>
        <w:spacing w:line="240" w:lineRule="auto"/>
        <w:ind w:left="709" w:hanging="709"/>
        <w:jc w:val="both"/>
        <w:rPr>
          <w:lang w:val="en-US"/>
        </w:rPr>
      </w:pPr>
      <w:r w:rsidRPr="00FB00C6">
        <w:rPr>
          <w:lang w:val="en-US"/>
        </w:rPr>
        <w:t xml:space="preserve">Mullis, </w:t>
      </w:r>
      <w:r>
        <w:rPr>
          <w:lang w:val="en-US"/>
        </w:rPr>
        <w:t xml:space="preserve">I.V.S., </w:t>
      </w:r>
      <w:r w:rsidRPr="00FB00C6">
        <w:rPr>
          <w:lang w:val="en-US"/>
        </w:rPr>
        <w:t>Martin,</w:t>
      </w:r>
      <w:r>
        <w:rPr>
          <w:lang w:val="en-US"/>
        </w:rPr>
        <w:t xml:space="preserve"> M.O., </w:t>
      </w:r>
      <w:r w:rsidRPr="00FB00C6">
        <w:rPr>
          <w:lang w:val="en-US"/>
        </w:rPr>
        <w:t xml:space="preserve">Kennedy, </w:t>
      </w:r>
      <w:r>
        <w:rPr>
          <w:lang w:val="en-US"/>
        </w:rPr>
        <w:t xml:space="preserve">A.M., </w:t>
      </w:r>
      <w:proofErr w:type="spellStart"/>
      <w:proofErr w:type="gramStart"/>
      <w:r w:rsidRPr="00FB00C6">
        <w:rPr>
          <w:lang w:val="en-US"/>
        </w:rPr>
        <w:t>Trong</w:t>
      </w:r>
      <w:proofErr w:type="spellEnd"/>
      <w:r>
        <w:rPr>
          <w:lang w:val="en-US"/>
        </w:rPr>
        <w:t xml:space="preserve">, </w:t>
      </w:r>
      <w:r w:rsidRPr="00FB00C6">
        <w:rPr>
          <w:lang w:val="en-US"/>
        </w:rPr>
        <w:t xml:space="preserve"> </w:t>
      </w:r>
      <w:r>
        <w:rPr>
          <w:lang w:val="en-US"/>
        </w:rPr>
        <w:t>K.L.</w:t>
      </w:r>
      <w:proofErr w:type="gramEnd"/>
      <w:r>
        <w:rPr>
          <w:lang w:val="en-US"/>
        </w:rPr>
        <w:t xml:space="preserve">, </w:t>
      </w:r>
      <w:r w:rsidRPr="00FB00C6">
        <w:rPr>
          <w:lang w:val="en-US"/>
        </w:rPr>
        <w:t>&amp; Sainsbury</w:t>
      </w:r>
      <w:r>
        <w:rPr>
          <w:lang w:val="en-US"/>
        </w:rPr>
        <w:t>, M.</w:t>
      </w:r>
      <w:r w:rsidRPr="00FB00C6">
        <w:rPr>
          <w:lang w:val="en-US"/>
        </w:rPr>
        <w:t xml:space="preserve"> (2009). </w:t>
      </w:r>
      <w:r w:rsidRPr="00643578">
        <w:rPr>
          <w:i/>
          <w:lang w:val="en-US"/>
        </w:rPr>
        <w:t>PIRLS 2011 Assessment Framework. TIMSS &amp; PIRLS International Study Center, Lynch School of Education.</w:t>
      </w:r>
      <w:r w:rsidRPr="00FB00C6">
        <w:rPr>
          <w:lang w:val="en-US"/>
        </w:rPr>
        <w:t xml:space="preserve"> </w:t>
      </w:r>
      <w:r w:rsidRPr="009E41B3">
        <w:rPr>
          <w:lang w:val="en-US"/>
        </w:rPr>
        <w:t>Boston College.</w:t>
      </w:r>
    </w:p>
    <w:p w:rsidR="005D7455" w:rsidRPr="007803B8" w:rsidRDefault="005D7455" w:rsidP="005D7455">
      <w:pPr>
        <w:spacing w:line="240" w:lineRule="auto"/>
        <w:ind w:left="709" w:hanging="709"/>
        <w:jc w:val="both"/>
      </w:pPr>
      <w:proofErr w:type="spellStart"/>
      <w:r w:rsidRPr="00175011">
        <w:rPr>
          <w:lang w:val="en-US"/>
        </w:rPr>
        <w:t>Ruddell</w:t>
      </w:r>
      <w:proofErr w:type="spellEnd"/>
      <w:r w:rsidRPr="00175011">
        <w:rPr>
          <w:lang w:val="en-US"/>
        </w:rPr>
        <w:t xml:space="preserve">, R.B., &amp; </w:t>
      </w:r>
      <w:proofErr w:type="spellStart"/>
      <w:r w:rsidRPr="00175011">
        <w:rPr>
          <w:lang w:val="en-US"/>
        </w:rPr>
        <w:t>Unrau</w:t>
      </w:r>
      <w:proofErr w:type="spellEnd"/>
      <w:r w:rsidRPr="00175011">
        <w:rPr>
          <w:lang w:val="en-US"/>
        </w:rPr>
        <w:t xml:space="preserve">, N.J. (Eds.) (2004). </w:t>
      </w:r>
      <w:r w:rsidRPr="00175011">
        <w:rPr>
          <w:i/>
          <w:lang w:val="en-US"/>
        </w:rPr>
        <w:t xml:space="preserve">Theoretical models and processes of reading </w:t>
      </w:r>
      <w:r w:rsidRPr="00175011">
        <w:rPr>
          <w:lang w:val="en-US"/>
        </w:rPr>
        <w:t>(5</w:t>
      </w:r>
      <w:r w:rsidRPr="00175011">
        <w:rPr>
          <w:vertAlign w:val="superscript"/>
          <w:lang w:val="en-US"/>
        </w:rPr>
        <w:t>th</w:t>
      </w:r>
      <w:r w:rsidRPr="00175011">
        <w:rPr>
          <w:lang w:val="en-US"/>
        </w:rPr>
        <w:t xml:space="preserve"> ed.). </w:t>
      </w:r>
      <w:r w:rsidRPr="007803B8">
        <w:t xml:space="preserve">Newark, </w:t>
      </w:r>
      <w:proofErr w:type="gramStart"/>
      <w:r w:rsidRPr="007803B8">
        <w:t>DE:</w:t>
      </w:r>
      <w:proofErr w:type="gramEnd"/>
      <w:r w:rsidRPr="007803B8">
        <w:t xml:space="preserve"> International Reading Association.</w:t>
      </w:r>
    </w:p>
    <w:p w:rsidR="009E41B3" w:rsidRPr="009E41B3" w:rsidRDefault="009E41B3" w:rsidP="009E41B3">
      <w:pPr>
        <w:spacing w:line="240" w:lineRule="auto"/>
        <w:ind w:left="709" w:hanging="709"/>
        <w:jc w:val="both"/>
        <w:rPr>
          <w:lang w:val="en-US"/>
        </w:rPr>
      </w:pPr>
      <w:r w:rsidRPr="007803B8">
        <w:t xml:space="preserve">Schillings, P., &amp; Baye, A. (2013). L’effet des interactions sociales et langagières sur la compréhension : analyse qualitative de réponses construites avant et après discussion. </w:t>
      </w:r>
      <w:proofErr w:type="spellStart"/>
      <w:r w:rsidRPr="007803B8">
        <w:rPr>
          <w:i/>
          <w:lang w:val="en-US"/>
        </w:rPr>
        <w:t>Caractères</w:t>
      </w:r>
      <w:proofErr w:type="spellEnd"/>
      <w:r w:rsidRPr="007803B8">
        <w:rPr>
          <w:i/>
          <w:lang w:val="en-US"/>
        </w:rPr>
        <w:t>, 45</w:t>
      </w:r>
      <w:r w:rsidRPr="009E41B3">
        <w:rPr>
          <w:lang w:val="en-US"/>
        </w:rPr>
        <w:t>, 5-18.</w:t>
      </w:r>
    </w:p>
    <w:p w:rsidR="009E41B3" w:rsidRPr="009E41B3" w:rsidRDefault="009E41B3" w:rsidP="009E41B3">
      <w:pPr>
        <w:spacing w:line="240" w:lineRule="auto"/>
        <w:ind w:left="709" w:hanging="709"/>
        <w:jc w:val="both"/>
      </w:pPr>
      <w:r w:rsidRPr="00175011">
        <w:rPr>
          <w:lang w:val="en-US"/>
        </w:rPr>
        <w:lastRenderedPageBreak/>
        <w:t xml:space="preserve">Walter, P. (1999). Defining literacy and its consequences in the developing world. </w:t>
      </w:r>
      <w:r w:rsidRPr="009E41B3">
        <w:rPr>
          <w:i/>
        </w:rPr>
        <w:t xml:space="preserve">International Journal of </w:t>
      </w:r>
      <w:proofErr w:type="spellStart"/>
      <w:r w:rsidRPr="009E41B3">
        <w:rPr>
          <w:i/>
        </w:rPr>
        <w:t>Lifelong</w:t>
      </w:r>
      <w:proofErr w:type="spellEnd"/>
      <w:r w:rsidRPr="009E41B3">
        <w:rPr>
          <w:i/>
        </w:rPr>
        <w:t xml:space="preserve"> Education, 18, </w:t>
      </w:r>
      <w:r w:rsidRPr="009E41B3">
        <w:t>31-48.</w:t>
      </w:r>
    </w:p>
    <w:p w:rsidR="00F44759" w:rsidRPr="007803B8" w:rsidRDefault="009E41B3" w:rsidP="007803B8">
      <w:pPr>
        <w:ind w:left="709" w:hanging="709"/>
        <w:jc w:val="both"/>
        <w:rPr>
          <w:rFonts w:eastAsiaTheme="majorEastAsia" w:cstheme="majorBidi"/>
          <w:bCs/>
          <w:i/>
          <w:color w:val="000000" w:themeColor="text1"/>
          <w:lang w:val="en-US"/>
        </w:rPr>
      </w:pPr>
      <w:r w:rsidRPr="007803B8">
        <w:rPr>
          <w:rStyle w:val="lev"/>
          <w:b w:val="0"/>
        </w:rPr>
        <w:t xml:space="preserve">Hébert, M., Lafontaine, L. (2012). L'oral réflexif dans les cercles littéraires entre pairs : quelle caractéristiques cognitives, interactionnelles et discursives chez des élèves de 11 à 16 </w:t>
      </w:r>
      <w:proofErr w:type="gramStart"/>
      <w:r w:rsidRPr="007803B8">
        <w:rPr>
          <w:rStyle w:val="lev"/>
          <w:b w:val="0"/>
        </w:rPr>
        <w:t>ans?</w:t>
      </w:r>
      <w:proofErr w:type="gramEnd"/>
      <w:r w:rsidRPr="007803B8">
        <w:rPr>
          <w:rStyle w:val="lev"/>
          <w:b w:val="0"/>
        </w:rPr>
        <w:t xml:space="preserve"> [</w:t>
      </w:r>
      <w:proofErr w:type="gramStart"/>
      <w:r w:rsidRPr="007803B8">
        <w:rPr>
          <w:rStyle w:val="lev"/>
          <w:b w:val="0"/>
        </w:rPr>
        <w:t>en</w:t>
      </w:r>
      <w:proofErr w:type="gramEnd"/>
      <w:r w:rsidRPr="007803B8">
        <w:rPr>
          <w:rStyle w:val="lev"/>
          <w:b w:val="0"/>
        </w:rPr>
        <w:t xml:space="preserve"> ligne] </w:t>
      </w:r>
      <w:proofErr w:type="spellStart"/>
      <w:r w:rsidRPr="007803B8">
        <w:rPr>
          <w:rStyle w:val="lev"/>
          <w:b w:val="0"/>
          <w:i/>
        </w:rPr>
        <w:t>Lettrure</w:t>
      </w:r>
      <w:proofErr w:type="spellEnd"/>
      <w:r w:rsidRPr="007803B8">
        <w:rPr>
          <w:rStyle w:val="lev"/>
          <w:b w:val="0"/>
          <w:i/>
        </w:rPr>
        <w:t>, 2</w:t>
      </w:r>
      <w:r w:rsidRPr="007803B8">
        <w:rPr>
          <w:rStyle w:val="lev"/>
          <w:b w:val="0"/>
        </w:rPr>
        <w:t>, 99-111. ABLF Asbl.</w:t>
      </w:r>
    </w:p>
    <w:sectPr w:rsidR="00F44759" w:rsidRPr="007803B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0E8" w:rsidRDefault="006960E8" w:rsidP="00F44759">
      <w:pPr>
        <w:spacing w:after="0" w:line="240" w:lineRule="auto"/>
      </w:pPr>
      <w:r>
        <w:separator/>
      </w:r>
    </w:p>
  </w:endnote>
  <w:endnote w:type="continuationSeparator" w:id="0">
    <w:p w:rsidR="006960E8" w:rsidRDefault="006960E8" w:rsidP="00F44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4753165"/>
      <w:docPartObj>
        <w:docPartGallery w:val="Page Numbers (Bottom of Page)"/>
        <w:docPartUnique/>
      </w:docPartObj>
    </w:sdtPr>
    <w:sdtEndPr/>
    <w:sdtContent>
      <w:p w:rsidR="007803B8" w:rsidRDefault="007803B8">
        <w:pPr>
          <w:pStyle w:val="Pieddepage"/>
          <w:jc w:val="right"/>
        </w:pPr>
        <w:r>
          <w:fldChar w:fldCharType="begin"/>
        </w:r>
        <w:r>
          <w:instrText>PAGE   \* MERGEFORMAT</w:instrText>
        </w:r>
        <w:r>
          <w:fldChar w:fldCharType="separate"/>
        </w:r>
        <w:r w:rsidR="00073E5A" w:rsidRPr="00073E5A">
          <w:rPr>
            <w:noProof/>
            <w:lang w:val="fr-FR"/>
          </w:rPr>
          <w:t>2</w:t>
        </w:r>
        <w:r>
          <w:fldChar w:fldCharType="end"/>
        </w:r>
      </w:p>
    </w:sdtContent>
  </w:sdt>
  <w:p w:rsidR="007803B8" w:rsidRDefault="007803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0E8" w:rsidRDefault="006960E8" w:rsidP="00F44759">
      <w:pPr>
        <w:spacing w:after="0" w:line="240" w:lineRule="auto"/>
      </w:pPr>
      <w:r>
        <w:separator/>
      </w:r>
    </w:p>
  </w:footnote>
  <w:footnote w:type="continuationSeparator" w:id="0">
    <w:p w:rsidR="006960E8" w:rsidRDefault="006960E8" w:rsidP="00F44759">
      <w:pPr>
        <w:spacing w:after="0" w:line="240" w:lineRule="auto"/>
      </w:pPr>
      <w:r>
        <w:continuationSeparator/>
      </w:r>
    </w:p>
  </w:footnote>
  <w:footnote w:id="1">
    <w:p w:rsidR="00F44759" w:rsidRDefault="00F44759" w:rsidP="00F44759">
      <w:pPr>
        <w:pStyle w:val="Notedebasdepage"/>
      </w:pPr>
      <w:r>
        <w:rPr>
          <w:vertAlign w:val="superscript"/>
        </w:rPr>
        <w:footnoteRef/>
      </w:r>
      <w:r>
        <w:rPr>
          <w:vertAlign w:val="superscript"/>
        </w:rPr>
        <w:tab/>
      </w:r>
      <w:r>
        <w:t>L’étude est dirigée par le Centre de coordination internationale de PIRLS et TIMSS (</w:t>
      </w:r>
      <w:r w:rsidRPr="007B5EF6">
        <w:rPr>
          <w:i/>
        </w:rPr>
        <w:t xml:space="preserve">Boston </w:t>
      </w:r>
      <w:proofErr w:type="spellStart"/>
      <w:r w:rsidRPr="007B5EF6">
        <w:rPr>
          <w:i/>
        </w:rPr>
        <w:t>College</w:t>
      </w:r>
      <w:proofErr w:type="spellEnd"/>
      <w:r>
        <w:t xml:space="preserve">, co-directeurs M. Martin et I. </w:t>
      </w:r>
      <w:proofErr w:type="spellStart"/>
      <w:r>
        <w:t>Mullis</w:t>
      </w:r>
      <w:proofErr w:type="spellEnd"/>
      <w:r>
        <w:t>). Le consortium inclut également le secrétariat de l’IEA (Amsterdam), le DPC (</w:t>
      </w:r>
      <w:r w:rsidRPr="007B5EF6">
        <w:rPr>
          <w:i/>
        </w:rPr>
        <w:t xml:space="preserve">Data </w:t>
      </w:r>
      <w:proofErr w:type="spellStart"/>
      <w:r w:rsidRPr="007B5EF6">
        <w:rPr>
          <w:i/>
        </w:rPr>
        <w:t>Processing</w:t>
      </w:r>
      <w:proofErr w:type="spellEnd"/>
      <w:r w:rsidRPr="007B5EF6">
        <w:rPr>
          <w:i/>
        </w:rPr>
        <w:t xml:space="preserve"> Center</w:t>
      </w:r>
      <w:r>
        <w:t>, Hambourg), la NFER (</w:t>
      </w:r>
      <w:r w:rsidRPr="007B5EF6">
        <w:rPr>
          <w:i/>
        </w:rPr>
        <w:t xml:space="preserve">National </w:t>
      </w:r>
      <w:proofErr w:type="spellStart"/>
      <w:r w:rsidRPr="007B5EF6">
        <w:rPr>
          <w:i/>
        </w:rPr>
        <w:t>Foundation</w:t>
      </w:r>
      <w:proofErr w:type="spellEnd"/>
      <w:r w:rsidRPr="007B5EF6">
        <w:rPr>
          <w:i/>
        </w:rPr>
        <w:t xml:space="preserve"> for </w:t>
      </w:r>
      <w:proofErr w:type="spellStart"/>
      <w:r w:rsidRPr="007B5EF6">
        <w:rPr>
          <w:i/>
        </w:rPr>
        <w:t>Educational</w:t>
      </w:r>
      <w:proofErr w:type="spellEnd"/>
      <w:r w:rsidRPr="007B5EF6">
        <w:rPr>
          <w:i/>
        </w:rPr>
        <w:t xml:space="preserve"> </w:t>
      </w:r>
      <w:proofErr w:type="spellStart"/>
      <w:r w:rsidRPr="007B5EF6">
        <w:rPr>
          <w:i/>
        </w:rPr>
        <w:t>Research</w:t>
      </w:r>
      <w:proofErr w:type="spellEnd"/>
      <w:r>
        <w:t xml:space="preserve">, Angleterre), </w:t>
      </w:r>
      <w:proofErr w:type="spellStart"/>
      <w:r w:rsidRPr="007B5EF6">
        <w:rPr>
          <w:i/>
        </w:rPr>
        <w:t>Statistics</w:t>
      </w:r>
      <w:proofErr w:type="spellEnd"/>
      <w:r w:rsidRPr="007B5EF6">
        <w:rPr>
          <w:i/>
        </w:rPr>
        <w:t xml:space="preserve"> Canada</w:t>
      </w:r>
      <w:r>
        <w:t>, et ETS (</w:t>
      </w:r>
      <w:proofErr w:type="spellStart"/>
      <w:r w:rsidRPr="007B5EF6">
        <w:rPr>
          <w:i/>
        </w:rPr>
        <w:t>Educational</w:t>
      </w:r>
      <w:proofErr w:type="spellEnd"/>
      <w:r w:rsidRPr="007B5EF6">
        <w:rPr>
          <w:i/>
        </w:rPr>
        <w:t xml:space="preserve"> </w:t>
      </w:r>
      <w:proofErr w:type="spellStart"/>
      <w:r w:rsidRPr="007B5EF6">
        <w:rPr>
          <w:i/>
        </w:rPr>
        <w:t>Testing</w:t>
      </w:r>
      <w:proofErr w:type="spellEnd"/>
      <w:r w:rsidRPr="007B5EF6">
        <w:rPr>
          <w:i/>
        </w:rPr>
        <w:t xml:space="preserve"> Service</w:t>
      </w:r>
      <w:r>
        <w:t>, USA).</w:t>
      </w:r>
    </w:p>
  </w:footnote>
  <w:footnote w:id="2">
    <w:p w:rsidR="00F96AAE" w:rsidRPr="00B83FB5" w:rsidRDefault="00F96AAE" w:rsidP="00F96AAE">
      <w:pPr>
        <w:pStyle w:val="Notedebasdepage"/>
        <w:rPr>
          <w:rFonts w:ascii="Century Gothic" w:hAnsi="Century Gothic"/>
          <w:sz w:val="16"/>
          <w:szCs w:val="16"/>
        </w:rPr>
      </w:pPr>
      <w:r>
        <w:rPr>
          <w:rStyle w:val="Appelnotedebasdep"/>
        </w:rPr>
        <w:footnoteRef/>
      </w:r>
      <w:r>
        <w:rPr>
          <w:rFonts w:ascii="Century Gothic" w:hAnsi="Century Gothic"/>
          <w:sz w:val="16"/>
          <w:szCs w:val="16"/>
          <w:lang w:val="en-US"/>
        </w:rPr>
        <w:t xml:space="preserve"> </w:t>
      </w:r>
      <w:r>
        <w:rPr>
          <w:rFonts w:ascii="Century Gothic" w:hAnsi="Century Gothic"/>
          <w:sz w:val="16"/>
          <w:szCs w:val="16"/>
          <w:lang w:val="en-US"/>
        </w:rPr>
        <w:tab/>
      </w:r>
      <w:r>
        <w:rPr>
          <w:lang w:val="en-US"/>
        </w:rPr>
        <w:t xml:space="preserve">Mullis, Martin, Kennedy, </w:t>
      </w:r>
      <w:proofErr w:type="spellStart"/>
      <w:r>
        <w:rPr>
          <w:lang w:val="en-US"/>
        </w:rPr>
        <w:t>Trong</w:t>
      </w:r>
      <w:proofErr w:type="spellEnd"/>
      <w:r>
        <w:rPr>
          <w:lang w:val="en-US"/>
        </w:rPr>
        <w:t xml:space="preserve"> &amp; Sainsbury (2009). PIRLS 2011 Assessment Framework. TIMSS &amp; PIRLS International Study Center, Lynch School of Education. </w:t>
      </w:r>
      <w:r w:rsidRPr="00B83FB5">
        <w:t xml:space="preserve">Boston </w:t>
      </w:r>
      <w:proofErr w:type="spellStart"/>
      <w:r w:rsidRPr="00B83FB5">
        <w:t>College</w:t>
      </w:r>
      <w:proofErr w:type="spellEnd"/>
      <w:r w:rsidRPr="00B83FB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2132C"/>
    <w:multiLevelType w:val="hybridMultilevel"/>
    <w:tmpl w:val="73B44060"/>
    <w:lvl w:ilvl="0" w:tplc="2B20BF92">
      <w:start w:val="1"/>
      <w:numFmt w:val="decimal"/>
      <w:pStyle w:val="Tableau"/>
      <w:lvlText w:val="Tableau %1 :"/>
      <w:lvlJc w:val="center"/>
      <w:pPr>
        <w:ind w:left="720" w:hanging="360"/>
      </w:pPr>
      <w:rPr>
        <w:rFonts w:hint="default"/>
        <w:sz w:val="20"/>
        <w:szCs w:val="2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7AD6D38"/>
    <w:multiLevelType w:val="hybridMultilevel"/>
    <w:tmpl w:val="8F621E2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6DCE4D87"/>
    <w:multiLevelType w:val="hybridMultilevel"/>
    <w:tmpl w:val="8ACA055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759"/>
    <w:rsid w:val="00006442"/>
    <w:rsid w:val="00012692"/>
    <w:rsid w:val="0001729B"/>
    <w:rsid w:val="00073E5A"/>
    <w:rsid w:val="000743A5"/>
    <w:rsid w:val="00076688"/>
    <w:rsid w:val="001548F6"/>
    <w:rsid w:val="001D5C35"/>
    <w:rsid w:val="00213656"/>
    <w:rsid w:val="002B76B1"/>
    <w:rsid w:val="003057BF"/>
    <w:rsid w:val="0036140C"/>
    <w:rsid w:val="00390ED0"/>
    <w:rsid w:val="003A1DB0"/>
    <w:rsid w:val="003B1200"/>
    <w:rsid w:val="00420157"/>
    <w:rsid w:val="00557FCA"/>
    <w:rsid w:val="00565F58"/>
    <w:rsid w:val="005D7455"/>
    <w:rsid w:val="005F0953"/>
    <w:rsid w:val="006928DA"/>
    <w:rsid w:val="006960E8"/>
    <w:rsid w:val="00706177"/>
    <w:rsid w:val="007530E7"/>
    <w:rsid w:val="007803B8"/>
    <w:rsid w:val="00880B56"/>
    <w:rsid w:val="00885D91"/>
    <w:rsid w:val="008C2F42"/>
    <w:rsid w:val="009E41B3"/>
    <w:rsid w:val="009E6691"/>
    <w:rsid w:val="00A95FD8"/>
    <w:rsid w:val="00BE138C"/>
    <w:rsid w:val="00CD4E4B"/>
    <w:rsid w:val="00CD7F6A"/>
    <w:rsid w:val="00CE094B"/>
    <w:rsid w:val="00CE643D"/>
    <w:rsid w:val="00D1037E"/>
    <w:rsid w:val="00E86F32"/>
    <w:rsid w:val="00F11080"/>
    <w:rsid w:val="00F30D3B"/>
    <w:rsid w:val="00F33A0C"/>
    <w:rsid w:val="00F44759"/>
    <w:rsid w:val="00F46863"/>
    <w:rsid w:val="00F96AAE"/>
    <w:rsid w:val="00FB00C6"/>
    <w:rsid w:val="00FF3C5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583A0"/>
  <w15:docId w15:val="{7E7DDEE2-C97E-43D6-AE4C-F4BCC8154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F44759"/>
    <w:pPr>
      <w:keepNext/>
      <w:keepLines/>
      <w:spacing w:before="480" w:after="240"/>
      <w:ind w:left="357" w:hanging="357"/>
      <w:outlineLvl w:val="0"/>
    </w:pPr>
    <w:rPr>
      <w:rFonts w:eastAsiaTheme="majorEastAsia" w:cstheme="majorBidi"/>
      <w:b/>
      <w:bCs/>
      <w:color w:val="000000" w:themeColor="text1"/>
      <w:sz w:val="24"/>
      <w:szCs w:val="24"/>
      <w:lang w:eastAsia="fr-BE"/>
    </w:rPr>
  </w:style>
  <w:style w:type="paragraph" w:styleId="Titre3">
    <w:name w:val="heading 3"/>
    <w:basedOn w:val="Normal"/>
    <w:next w:val="Normal"/>
    <w:link w:val="Titre3Car"/>
    <w:uiPriority w:val="9"/>
    <w:unhideWhenUsed/>
    <w:qFormat/>
    <w:rsid w:val="00880B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4759"/>
    <w:rPr>
      <w:rFonts w:eastAsiaTheme="majorEastAsia" w:cstheme="majorBidi"/>
      <w:b/>
      <w:bCs/>
      <w:color w:val="000000" w:themeColor="text1"/>
      <w:sz w:val="24"/>
      <w:szCs w:val="24"/>
      <w:lang w:eastAsia="fr-BE"/>
    </w:rPr>
  </w:style>
  <w:style w:type="table" w:styleId="Grilledutableau">
    <w:name w:val="Table Grid"/>
    <w:basedOn w:val="TableauNormal"/>
    <w:uiPriority w:val="59"/>
    <w:rsid w:val="00F44759"/>
    <w:pPr>
      <w:spacing w:after="0" w:line="240" w:lineRule="auto"/>
    </w:pPr>
    <w:rPr>
      <w:rFonts w:eastAsiaTheme="minorEastAsia"/>
      <w:lang w:eastAsia="fr-B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tedebasdepage">
    <w:name w:val="footnote text"/>
    <w:basedOn w:val="Normal"/>
    <w:link w:val="NotedebasdepageCar"/>
    <w:uiPriority w:val="99"/>
    <w:unhideWhenUsed/>
    <w:rsid w:val="00F44759"/>
    <w:pPr>
      <w:spacing w:after="0" w:line="240" w:lineRule="auto"/>
      <w:ind w:left="142" w:hanging="142"/>
      <w:jc w:val="both"/>
    </w:pPr>
    <w:rPr>
      <w:rFonts w:eastAsiaTheme="minorEastAsia"/>
      <w:sz w:val="18"/>
      <w:szCs w:val="18"/>
      <w:lang w:eastAsia="fr-BE"/>
    </w:rPr>
  </w:style>
  <w:style w:type="character" w:customStyle="1" w:styleId="NotedebasdepageCar">
    <w:name w:val="Note de bas de page Car"/>
    <w:basedOn w:val="Policepardfaut"/>
    <w:link w:val="Notedebasdepage"/>
    <w:uiPriority w:val="99"/>
    <w:rsid w:val="00F44759"/>
    <w:rPr>
      <w:rFonts w:eastAsiaTheme="minorEastAsia"/>
      <w:sz w:val="18"/>
      <w:szCs w:val="18"/>
      <w:lang w:eastAsia="fr-BE"/>
    </w:rPr>
  </w:style>
  <w:style w:type="character" w:styleId="Appelnotedebasdep">
    <w:name w:val="footnote reference"/>
    <w:basedOn w:val="Policepardfaut"/>
    <w:uiPriority w:val="99"/>
    <w:semiHidden/>
    <w:unhideWhenUsed/>
    <w:rsid w:val="00F44759"/>
    <w:rPr>
      <w:vertAlign w:val="superscript"/>
    </w:rPr>
  </w:style>
  <w:style w:type="paragraph" w:styleId="Paragraphedeliste">
    <w:name w:val="List Paragraph"/>
    <w:basedOn w:val="Normal"/>
    <w:uiPriority w:val="34"/>
    <w:qFormat/>
    <w:rsid w:val="00F44759"/>
    <w:pPr>
      <w:ind w:left="720"/>
      <w:contextualSpacing/>
    </w:pPr>
    <w:rPr>
      <w:rFonts w:eastAsiaTheme="minorEastAsia"/>
      <w:lang w:eastAsia="fr-BE"/>
    </w:rPr>
  </w:style>
  <w:style w:type="paragraph" w:styleId="Corpsdetexte2">
    <w:name w:val="Body Text 2"/>
    <w:basedOn w:val="Normal"/>
    <w:link w:val="Corpsdetexte2Car"/>
    <w:unhideWhenUsed/>
    <w:rsid w:val="00F44759"/>
    <w:pPr>
      <w:spacing w:after="120" w:line="480" w:lineRule="auto"/>
    </w:pPr>
    <w:rPr>
      <w:rFonts w:eastAsiaTheme="minorEastAsia"/>
      <w:lang w:eastAsia="fr-BE"/>
    </w:rPr>
  </w:style>
  <w:style w:type="character" w:customStyle="1" w:styleId="Corpsdetexte2Car">
    <w:name w:val="Corps de texte 2 Car"/>
    <w:basedOn w:val="Policepardfaut"/>
    <w:link w:val="Corpsdetexte2"/>
    <w:rsid w:val="00F44759"/>
    <w:rPr>
      <w:rFonts w:eastAsiaTheme="minorEastAsia"/>
      <w:lang w:eastAsia="fr-BE"/>
    </w:rPr>
  </w:style>
  <w:style w:type="paragraph" w:customStyle="1" w:styleId="Body">
    <w:name w:val="Body"/>
    <w:basedOn w:val="Normal"/>
    <w:rsid w:val="00F44759"/>
    <w:pPr>
      <w:spacing w:before="120" w:after="120" w:line="300" w:lineRule="atLeast"/>
    </w:pPr>
    <w:rPr>
      <w:rFonts w:ascii="Times" w:eastAsia="Times New Roman" w:hAnsi="Times" w:cs="Times New Roman"/>
      <w:sz w:val="24"/>
      <w:szCs w:val="20"/>
      <w:lang w:val="en-US" w:eastAsia="fr-FR"/>
    </w:rPr>
  </w:style>
  <w:style w:type="paragraph" w:customStyle="1" w:styleId="Tableau">
    <w:name w:val="Tableau"/>
    <w:basedOn w:val="Normal"/>
    <w:qFormat/>
    <w:rsid w:val="00F44759"/>
    <w:pPr>
      <w:numPr>
        <w:numId w:val="2"/>
      </w:numPr>
      <w:spacing w:before="120" w:after="0" w:line="240" w:lineRule="auto"/>
      <w:jc w:val="center"/>
    </w:pPr>
    <w:rPr>
      <w:rFonts w:eastAsiaTheme="minorEastAsia"/>
      <w:b/>
      <w:sz w:val="20"/>
      <w:szCs w:val="20"/>
      <w:lang w:eastAsia="fr-BE"/>
    </w:rPr>
  </w:style>
  <w:style w:type="character" w:customStyle="1" w:styleId="Titre3Car">
    <w:name w:val="Titre 3 Car"/>
    <w:basedOn w:val="Policepardfaut"/>
    <w:link w:val="Titre3"/>
    <w:uiPriority w:val="9"/>
    <w:rsid w:val="00880B56"/>
    <w:rPr>
      <w:rFonts w:asciiTheme="majorHAnsi" w:eastAsiaTheme="majorEastAsia" w:hAnsiTheme="majorHAnsi" w:cstheme="majorBidi"/>
      <w:b/>
      <w:bCs/>
      <w:color w:val="4F81BD" w:themeColor="accent1"/>
    </w:rPr>
  </w:style>
  <w:style w:type="paragraph" w:styleId="Textedebulles">
    <w:name w:val="Balloon Text"/>
    <w:basedOn w:val="Normal"/>
    <w:link w:val="TextedebullesCar"/>
    <w:uiPriority w:val="99"/>
    <w:semiHidden/>
    <w:unhideWhenUsed/>
    <w:rsid w:val="00880B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0B56"/>
    <w:rPr>
      <w:rFonts w:ascii="Tahoma" w:hAnsi="Tahoma" w:cs="Tahoma"/>
      <w:sz w:val="16"/>
      <w:szCs w:val="16"/>
    </w:rPr>
  </w:style>
  <w:style w:type="character" w:styleId="lev">
    <w:name w:val="Strong"/>
    <w:basedOn w:val="Policepardfaut"/>
    <w:uiPriority w:val="22"/>
    <w:qFormat/>
    <w:rsid w:val="009E41B3"/>
    <w:rPr>
      <w:b/>
      <w:bCs/>
    </w:rPr>
  </w:style>
  <w:style w:type="paragraph" w:styleId="Rvision">
    <w:name w:val="Revision"/>
    <w:hidden/>
    <w:uiPriority w:val="99"/>
    <w:semiHidden/>
    <w:rsid w:val="00012692"/>
    <w:pPr>
      <w:spacing w:after="0" w:line="240" w:lineRule="auto"/>
    </w:pPr>
  </w:style>
  <w:style w:type="paragraph" w:styleId="En-tte">
    <w:name w:val="header"/>
    <w:basedOn w:val="Normal"/>
    <w:link w:val="En-tteCar"/>
    <w:uiPriority w:val="99"/>
    <w:unhideWhenUsed/>
    <w:rsid w:val="007803B8"/>
    <w:pPr>
      <w:tabs>
        <w:tab w:val="center" w:pos="4536"/>
        <w:tab w:val="right" w:pos="9072"/>
      </w:tabs>
      <w:spacing w:after="0" w:line="240" w:lineRule="auto"/>
    </w:pPr>
  </w:style>
  <w:style w:type="character" w:customStyle="1" w:styleId="En-tteCar">
    <w:name w:val="En-tête Car"/>
    <w:basedOn w:val="Policepardfaut"/>
    <w:link w:val="En-tte"/>
    <w:uiPriority w:val="99"/>
    <w:rsid w:val="007803B8"/>
  </w:style>
  <w:style w:type="paragraph" w:styleId="Pieddepage">
    <w:name w:val="footer"/>
    <w:basedOn w:val="Normal"/>
    <w:link w:val="PieddepageCar"/>
    <w:uiPriority w:val="99"/>
    <w:unhideWhenUsed/>
    <w:rsid w:val="007803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0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786C9-D7FA-47CF-91CD-0679D2FD3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1189</Words>
  <Characters>6542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DUPONTV</dc:creator>
  <cp:lastModifiedBy>Marie BOCQUILLON [532159]</cp:lastModifiedBy>
  <cp:revision>3</cp:revision>
  <dcterms:created xsi:type="dcterms:W3CDTF">2016-01-21T06:30:00Z</dcterms:created>
  <dcterms:modified xsi:type="dcterms:W3CDTF">2016-01-31T19:50:00Z</dcterms:modified>
</cp:coreProperties>
</file>