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DE" w:rsidRPr="00877279" w:rsidRDefault="000E26DE" w:rsidP="00B21494">
      <w:pPr>
        <w:autoSpaceDE w:val="0"/>
        <w:autoSpaceDN w:val="0"/>
        <w:adjustRightInd w:val="0"/>
        <w:spacing w:after="0" w:line="240" w:lineRule="auto"/>
        <w:jc w:val="center"/>
        <w:rPr>
          <w:rFonts w:ascii="Garamond" w:hAnsi="Garamond"/>
          <w:b/>
          <w:iCs/>
          <w:smallCaps/>
          <w:color w:val="7F7F7F"/>
          <w:sz w:val="32"/>
          <w:szCs w:val="32"/>
        </w:rPr>
      </w:pPr>
      <w:bookmarkStart w:id="0" w:name="_GoBack"/>
      <w:bookmarkEnd w:id="0"/>
      <w:r>
        <w:rPr>
          <w:rFonts w:ascii="Garamond,Bold" w:hAnsi="Garamond,Bold" w:cs="Garamond,Bold"/>
          <w:b/>
          <w:bCs/>
          <w:color w:val="818181"/>
          <w:sz w:val="28"/>
          <w:szCs w:val="28"/>
        </w:rPr>
        <w:t>ENQUETER AUPRES DE PERSONNES «VULNERABLES» - QUELLES IMPLICATIONS ? EXPERIENCE CROISEE DE DEUX CHERCHEURES</w:t>
      </w:r>
    </w:p>
    <w:p w:rsidR="000E26DE" w:rsidRDefault="000E26DE" w:rsidP="00B21494"/>
    <w:p w:rsidR="000E26DE" w:rsidRPr="00980D12" w:rsidRDefault="000E26DE" w:rsidP="00093351">
      <w:pPr>
        <w:spacing w:before="100" w:beforeAutospacing="1" w:after="100" w:afterAutospacing="1" w:line="360" w:lineRule="auto"/>
        <w:jc w:val="both"/>
        <w:outlineLvl w:val="2"/>
        <w:rPr>
          <w:rFonts w:ascii="Times New Roman" w:hAnsi="Times New Roman"/>
          <w:bCs/>
          <w:sz w:val="24"/>
          <w:szCs w:val="24"/>
        </w:rPr>
      </w:pPr>
      <w:r>
        <w:rPr>
          <w:rFonts w:ascii="Times New Roman" w:hAnsi="Times New Roman"/>
          <w:bCs/>
          <w:sz w:val="24"/>
          <w:szCs w:val="24"/>
        </w:rPr>
        <w:t>Cette</w:t>
      </w:r>
      <w:r w:rsidRPr="00B21494">
        <w:rPr>
          <w:rFonts w:ascii="Times New Roman" w:hAnsi="Times New Roman"/>
          <w:bCs/>
          <w:sz w:val="24"/>
          <w:szCs w:val="24"/>
        </w:rPr>
        <w:t xml:space="preserve"> contribution</w:t>
      </w:r>
      <w:r>
        <w:rPr>
          <w:rFonts w:ascii="Times New Roman" w:hAnsi="Times New Roman"/>
          <w:bCs/>
          <w:sz w:val="24"/>
          <w:szCs w:val="24"/>
        </w:rPr>
        <w:t>,</w:t>
      </w:r>
      <w:r w:rsidRPr="00B21494">
        <w:rPr>
          <w:rFonts w:ascii="Times New Roman" w:hAnsi="Times New Roman"/>
          <w:bCs/>
          <w:sz w:val="24"/>
          <w:szCs w:val="24"/>
        </w:rPr>
        <w:t xml:space="preserve"> </w:t>
      </w:r>
      <w:r>
        <w:rPr>
          <w:rFonts w:ascii="Times New Roman" w:hAnsi="Times New Roman"/>
          <w:bCs/>
          <w:sz w:val="24"/>
          <w:szCs w:val="24"/>
        </w:rPr>
        <w:t xml:space="preserve">à deux voix, </w:t>
      </w:r>
      <w:r w:rsidRPr="00B21494">
        <w:rPr>
          <w:rFonts w:ascii="Times New Roman" w:hAnsi="Times New Roman"/>
          <w:bCs/>
          <w:sz w:val="24"/>
          <w:szCs w:val="24"/>
        </w:rPr>
        <w:t>a pour ambition de revenir sur la genèse de nos questionnements de chercheur</w:t>
      </w:r>
      <w:r>
        <w:rPr>
          <w:rFonts w:ascii="Times New Roman" w:hAnsi="Times New Roman"/>
          <w:bCs/>
          <w:sz w:val="24"/>
          <w:szCs w:val="24"/>
        </w:rPr>
        <w:t>e</w:t>
      </w:r>
      <w:r w:rsidRPr="00B21494">
        <w:rPr>
          <w:rFonts w:ascii="Times New Roman" w:hAnsi="Times New Roman"/>
          <w:bCs/>
          <w:sz w:val="24"/>
          <w:szCs w:val="24"/>
        </w:rPr>
        <w:t>s</w:t>
      </w:r>
      <w:r>
        <w:rPr>
          <w:rFonts w:ascii="Times New Roman" w:hAnsi="Times New Roman"/>
          <w:bCs/>
          <w:sz w:val="24"/>
          <w:szCs w:val="24"/>
        </w:rPr>
        <w:t>.</w:t>
      </w:r>
      <w:r w:rsidRPr="00C9146E">
        <w:rPr>
          <w:rFonts w:ascii="Times New Roman" w:hAnsi="Times New Roman"/>
          <w:bCs/>
          <w:sz w:val="24"/>
          <w:szCs w:val="24"/>
        </w:rPr>
        <w:t xml:space="preserve"> </w:t>
      </w:r>
      <w:r>
        <w:rPr>
          <w:rFonts w:ascii="Times New Roman" w:hAnsi="Times New Roman"/>
          <w:bCs/>
          <w:sz w:val="24"/>
          <w:szCs w:val="24"/>
        </w:rPr>
        <w:t>Depuis 2012, nous partageons une réflexion collective au sein du pôle</w:t>
      </w:r>
      <w:r w:rsidRPr="00B01602">
        <w:rPr>
          <w:rFonts w:ascii="Times New Roman" w:hAnsi="Times New Roman"/>
          <w:bCs/>
          <w:sz w:val="24"/>
          <w:szCs w:val="24"/>
        </w:rPr>
        <w:t xml:space="preserve"> </w:t>
      </w:r>
      <w:r>
        <w:rPr>
          <w:rFonts w:ascii="Times New Roman" w:hAnsi="Times New Roman"/>
          <w:bCs/>
          <w:sz w:val="24"/>
          <w:szCs w:val="24"/>
        </w:rPr>
        <w:t>Formation Insertion Langues et Sciences (FILS) de l’équipe CIREL-Trigone spécialisée en formation des adultes. Notre intérêt porte sur les</w:t>
      </w:r>
      <w:r w:rsidRPr="00B01602">
        <w:rPr>
          <w:rFonts w:ascii="Times New Roman" w:hAnsi="Times New Roman"/>
          <w:color w:val="333333"/>
          <w:sz w:val="24"/>
          <w:szCs w:val="24"/>
          <w:shd w:val="clear" w:color="auto" w:fill="FFFFFF"/>
        </w:rPr>
        <w:t xml:space="preserve"> processus de formation et d'acquisition de compétences de base des adultes</w:t>
      </w:r>
      <w:r>
        <w:rPr>
          <w:rFonts w:ascii="Times New Roman" w:hAnsi="Times New Roman"/>
          <w:color w:val="333333"/>
          <w:sz w:val="24"/>
          <w:szCs w:val="24"/>
          <w:shd w:val="clear" w:color="auto" w:fill="FFFFFF"/>
        </w:rPr>
        <w:t>.</w:t>
      </w:r>
      <w:r>
        <w:rPr>
          <w:rFonts w:ascii="Times New Roman" w:hAnsi="Times New Roman"/>
          <w:bCs/>
          <w:sz w:val="24"/>
          <w:szCs w:val="24"/>
        </w:rPr>
        <w:t xml:space="preserve"> La proximité de nos objets de recherche, les rapports à l’écrit et au savoir ‘’lire-écrire’’ des adultes, nous a conduites à partager les mêmes préoccupations </w:t>
      </w:r>
      <w:r w:rsidRPr="00980D12">
        <w:rPr>
          <w:rFonts w:ascii="Times New Roman" w:hAnsi="Times New Roman"/>
          <w:bCs/>
          <w:sz w:val="24"/>
          <w:szCs w:val="24"/>
        </w:rPr>
        <w:t xml:space="preserve">méthodologiques, épistémologiques et axiologiques. </w:t>
      </w:r>
    </w:p>
    <w:p w:rsidR="000E26DE" w:rsidRDefault="000E26DE" w:rsidP="00093351">
      <w:pPr>
        <w:spacing w:before="100" w:beforeAutospacing="1" w:after="100" w:afterAutospacing="1" w:line="360" w:lineRule="auto"/>
        <w:jc w:val="both"/>
        <w:outlineLvl w:val="2"/>
        <w:rPr>
          <w:rFonts w:ascii="Times New Roman" w:hAnsi="Times New Roman"/>
        </w:rPr>
      </w:pPr>
      <w:r w:rsidRPr="00980D12">
        <w:rPr>
          <w:rFonts w:ascii="Times New Roman" w:hAnsi="Times New Roman"/>
          <w:bCs/>
          <w:sz w:val="24"/>
          <w:szCs w:val="24"/>
        </w:rPr>
        <w:t xml:space="preserve">Nos recherches </w:t>
      </w:r>
      <w:r w:rsidRPr="00980D12">
        <w:rPr>
          <w:rFonts w:ascii="Times New Roman" w:hAnsi="Times New Roman"/>
        </w:rPr>
        <w:t>s'inscrivent dans une démarche qualitative qui s'enracine dans le courant épistémologique de l'approche compréhensive</w:t>
      </w:r>
      <w:r w:rsidRPr="00BA2B80">
        <w:rPr>
          <w:rFonts w:ascii="Times New Roman" w:hAnsi="Times New Roman"/>
        </w:rPr>
        <w:t>. Cette démarche se singularise par la distinction radicale entre phénomènes humains et sociaux versus phénomènes naturels dans la mesure où les premiers sont porteurs de significations véhiculées par les acteurs (Dumez, 2012).</w:t>
      </w:r>
      <w:r w:rsidRPr="00980D12">
        <w:rPr>
          <w:rFonts w:ascii="Times New Roman" w:hAnsi="Times New Roman"/>
        </w:rPr>
        <w:t xml:space="preserve"> D’après le principe d'inter-compréhension,</w:t>
      </w:r>
      <w:r>
        <w:rPr>
          <w:rFonts w:ascii="Times New Roman" w:hAnsi="Times New Roman"/>
        </w:rPr>
        <w:t xml:space="preserve"> elle</w:t>
      </w:r>
      <w:r w:rsidRPr="00980D12">
        <w:rPr>
          <w:rFonts w:ascii="Times New Roman" w:hAnsi="Times New Roman"/>
        </w:rPr>
        <w:t xml:space="preserve"> admet que tout homme peut saisir le vécu, l’expérience d'un autre et ainsi avoir accès au sens qu'il donne à la réalité étudiée (Paillé, Mucchielli, 2003).</w:t>
      </w:r>
    </w:p>
    <w:p w:rsidR="000E26DE" w:rsidRPr="00980D12" w:rsidRDefault="000E26DE" w:rsidP="00093351">
      <w:pPr>
        <w:spacing w:before="100" w:beforeAutospacing="1" w:after="100" w:afterAutospacing="1" w:line="360" w:lineRule="auto"/>
        <w:jc w:val="both"/>
        <w:outlineLvl w:val="2"/>
        <w:rPr>
          <w:rFonts w:ascii="Times New Roman" w:hAnsi="Times New Roman"/>
          <w:bCs/>
          <w:sz w:val="24"/>
          <w:szCs w:val="24"/>
        </w:rPr>
      </w:pPr>
      <w:r>
        <w:rPr>
          <w:rFonts w:ascii="Times New Roman" w:hAnsi="Times New Roman"/>
        </w:rPr>
        <w:t>ORIGINE DE NOS QUESTIONNEMENTS</w:t>
      </w:r>
    </w:p>
    <w:p w:rsidR="000E26DE" w:rsidRPr="00216F8E" w:rsidRDefault="000E26DE" w:rsidP="003E0188">
      <w:pPr>
        <w:spacing w:before="100" w:beforeAutospacing="1" w:after="0" w:line="360" w:lineRule="auto"/>
        <w:jc w:val="both"/>
        <w:rPr>
          <w:rFonts w:ascii="Times New Roman" w:hAnsi="Times New Roman"/>
          <w:color w:val="000000"/>
          <w:sz w:val="24"/>
          <w:szCs w:val="24"/>
        </w:rPr>
      </w:pPr>
      <w:r>
        <w:rPr>
          <w:rFonts w:ascii="Times New Roman" w:hAnsi="Times New Roman"/>
          <w:bCs/>
          <w:sz w:val="24"/>
          <w:szCs w:val="24"/>
        </w:rPr>
        <w:t>L’idée de cette communication, à visée réflexive, est née de nos expériences personnelles de chercheures et de la rencontre d’hommes et de femmes en formation linguistique de base inscrits dans un parcours d’insertion sociale et professionnelle</w:t>
      </w:r>
      <w:r>
        <w:rPr>
          <w:rStyle w:val="FootnoteReference"/>
          <w:rFonts w:ascii="Times New Roman" w:hAnsi="Times New Roman"/>
          <w:bCs/>
          <w:sz w:val="24"/>
          <w:szCs w:val="24"/>
        </w:rPr>
        <w:footnoteReference w:id="1"/>
      </w:r>
      <w:r>
        <w:rPr>
          <w:rFonts w:ascii="Times New Roman" w:hAnsi="Times New Roman"/>
          <w:bCs/>
          <w:sz w:val="24"/>
          <w:szCs w:val="24"/>
        </w:rPr>
        <w:t xml:space="preserve"> et dont on dit qu’ils sont ‘’vulnérables’’, ‘’exclus’’, ‘’inemployables’’</w:t>
      </w:r>
      <w:r w:rsidRPr="0014031C">
        <w:rPr>
          <w:rFonts w:ascii="Garamond" w:hAnsi="Garamond"/>
        </w:rPr>
        <w:t xml:space="preserve"> </w:t>
      </w:r>
      <w:r w:rsidRPr="0014031C">
        <w:rPr>
          <w:rFonts w:ascii="Times New Roman" w:hAnsi="Times New Roman"/>
          <w:sz w:val="24"/>
          <w:szCs w:val="24"/>
        </w:rPr>
        <w:t>autant de désignations ordinaires dont se nourrit une approche privative de la sociologie (Frétigné, 2011).</w:t>
      </w:r>
      <w:r>
        <w:rPr>
          <w:rFonts w:ascii="Times New Roman" w:hAnsi="Times New Roman"/>
          <w:sz w:val="24"/>
          <w:szCs w:val="24"/>
        </w:rPr>
        <w:t xml:space="preserve"> </w:t>
      </w:r>
      <w:r w:rsidRPr="00151BB1">
        <w:rPr>
          <w:rFonts w:ascii="Times New Roman" w:hAnsi="Times New Roman"/>
          <w:sz w:val="24"/>
          <w:szCs w:val="24"/>
        </w:rPr>
        <w:t>Durant ces rencontres, les personnes sollicitées nous ont livré leur parole, ont témoigné de leurs préoccupations et angoisses liées à leurs conditions souvent précaires.</w:t>
      </w:r>
      <w:r w:rsidRPr="00151BB1">
        <w:rPr>
          <w:rFonts w:ascii="Times New Roman" w:hAnsi="Times New Roman"/>
          <w:color w:val="000000"/>
          <w:sz w:val="24"/>
          <w:szCs w:val="24"/>
        </w:rPr>
        <w:t xml:space="preserve"> </w:t>
      </w:r>
      <w:r>
        <w:rPr>
          <w:rFonts w:ascii="Times New Roman" w:hAnsi="Times New Roman"/>
          <w:sz w:val="24"/>
          <w:szCs w:val="24"/>
        </w:rPr>
        <w:t>C</w:t>
      </w:r>
      <w:r w:rsidRPr="00530030">
        <w:rPr>
          <w:rFonts w:ascii="Times New Roman" w:hAnsi="Times New Roman"/>
          <w:sz w:val="24"/>
          <w:szCs w:val="24"/>
        </w:rPr>
        <w:t xml:space="preserve">es situations </w:t>
      </w:r>
      <w:r>
        <w:rPr>
          <w:rFonts w:ascii="Times New Roman" w:hAnsi="Times New Roman"/>
          <w:sz w:val="24"/>
          <w:szCs w:val="24"/>
        </w:rPr>
        <w:t>les ont conduites</w:t>
      </w:r>
      <w:r w:rsidRPr="00530030">
        <w:rPr>
          <w:rFonts w:ascii="Times New Roman" w:hAnsi="Times New Roman"/>
          <w:sz w:val="24"/>
          <w:szCs w:val="24"/>
        </w:rPr>
        <w:t xml:space="preserve"> </w:t>
      </w:r>
      <w:r>
        <w:rPr>
          <w:rFonts w:ascii="Times New Roman" w:hAnsi="Times New Roman"/>
          <w:sz w:val="24"/>
          <w:szCs w:val="24"/>
        </w:rPr>
        <w:t xml:space="preserve">à faire part d’évènements douloureux et parfois </w:t>
      </w:r>
      <w:r w:rsidRPr="00216F8E">
        <w:rPr>
          <w:rFonts w:ascii="Times New Roman" w:hAnsi="Times New Roman"/>
          <w:sz w:val="24"/>
          <w:szCs w:val="24"/>
        </w:rPr>
        <w:t>volontairement tus</w:t>
      </w:r>
      <w:r w:rsidRPr="00216F8E">
        <w:rPr>
          <w:rFonts w:ascii="Times New Roman" w:hAnsi="Times New Roman"/>
          <w:color w:val="000000"/>
          <w:sz w:val="24"/>
          <w:szCs w:val="24"/>
        </w:rPr>
        <w:t xml:space="preserve">. L’intrusion dans le monde de l’autre peut être alors considérée comme un quasi-procès, un quasi-examen pour la personne, qui plus est, quand elle se trouve dans l’impossibilité de manifester une image de soi positive, de garder la face (Mauger, 1991). Ces situations d’enquêtes ont suscité, chez les chercheures que nous sommes, une forme de gêne, voire de culpabilité. Nous avons eu le sentiment de n’avoir assigné à ces personnes qu’un statut de sources de données à exploiter voire, comme le dit Jean-Louis Legrand, d’effectuer </w:t>
      </w:r>
      <w:r w:rsidRPr="00216F8E">
        <w:rPr>
          <w:rFonts w:ascii="Times New Roman" w:hAnsi="Times New Roman"/>
          <w:sz w:val="24"/>
          <w:szCs w:val="24"/>
        </w:rPr>
        <w:t>"</w:t>
      </w:r>
      <w:r w:rsidRPr="00216F8E">
        <w:rPr>
          <w:rFonts w:ascii="Times New Roman" w:hAnsi="Times New Roman"/>
          <w:color w:val="000000"/>
          <w:sz w:val="24"/>
          <w:szCs w:val="24"/>
        </w:rPr>
        <w:t>un travail de charognards</w:t>
      </w:r>
      <w:r w:rsidRPr="00216F8E">
        <w:rPr>
          <w:rFonts w:ascii="Times New Roman" w:hAnsi="Times New Roman"/>
          <w:sz w:val="24"/>
          <w:szCs w:val="24"/>
        </w:rPr>
        <w:t xml:space="preserve">, comme les vautours qui se précipitent sur les proies à peine mortes, pas encore refroidies, pour s'en nourrir" (Legrand in Feldman et </w:t>
      </w:r>
      <w:r w:rsidRPr="00216F8E">
        <w:rPr>
          <w:rFonts w:ascii="Times New Roman" w:hAnsi="Times New Roman"/>
          <w:i/>
          <w:iCs/>
          <w:sz w:val="24"/>
          <w:szCs w:val="24"/>
        </w:rPr>
        <w:t>al</w:t>
      </w:r>
      <w:r w:rsidRPr="00216F8E">
        <w:rPr>
          <w:rFonts w:ascii="Times New Roman" w:hAnsi="Times New Roman"/>
          <w:sz w:val="24"/>
          <w:szCs w:val="24"/>
        </w:rPr>
        <w:t>, 2000, p. 227). N’y a-t-il pas là une forme de voyeurisme ?</w:t>
      </w:r>
      <w:r w:rsidRPr="00216F8E">
        <w:rPr>
          <w:rFonts w:ascii="Times New Roman" w:hAnsi="Times New Roman"/>
          <w:color w:val="000000"/>
          <w:sz w:val="24"/>
          <w:szCs w:val="24"/>
        </w:rPr>
        <w:t xml:space="preserve"> Quel sens attribuer à cette relation sociale ? A-t-elle été vaine, inutile ?  </w:t>
      </w:r>
    </w:p>
    <w:p w:rsidR="000E26DE" w:rsidRDefault="000E26DE" w:rsidP="00151BB1">
      <w:pPr>
        <w:spacing w:before="100" w:beforeAutospacing="1" w:after="0" w:line="360" w:lineRule="auto"/>
        <w:jc w:val="both"/>
        <w:rPr>
          <w:rFonts w:ascii="Times New Roman" w:hAnsi="Times New Roman"/>
          <w:color w:val="000000"/>
          <w:sz w:val="24"/>
          <w:szCs w:val="24"/>
        </w:rPr>
      </w:pPr>
      <w:r>
        <w:rPr>
          <w:rFonts w:ascii="Times New Roman" w:hAnsi="Times New Roman"/>
          <w:color w:val="000000"/>
          <w:sz w:val="24"/>
          <w:szCs w:val="24"/>
        </w:rPr>
        <w:t>VOLONTE DE COMPRENDRE</w:t>
      </w:r>
    </w:p>
    <w:p w:rsidR="000E26DE" w:rsidRPr="006841C4" w:rsidRDefault="000E26DE" w:rsidP="002C6C2C">
      <w:pPr>
        <w:spacing w:before="100" w:beforeAutospacing="1" w:after="0" w:line="360" w:lineRule="auto"/>
        <w:jc w:val="both"/>
        <w:rPr>
          <w:rFonts w:ascii="Garamond" w:hAnsi="Garamond"/>
        </w:rPr>
      </w:pPr>
      <w:r w:rsidRPr="003E0188">
        <w:rPr>
          <w:rFonts w:ascii="Times New Roman" w:hAnsi="Times New Roman"/>
          <w:sz w:val="24"/>
          <w:szCs w:val="24"/>
        </w:rPr>
        <w:t xml:space="preserve">Nous proposons d’explorer les questions méthodologiques, épistémologiques et éthiques liées à la relation d’enquête auprès de ces populations. </w:t>
      </w:r>
      <w:r>
        <w:rPr>
          <w:rFonts w:ascii="Times New Roman" w:hAnsi="Times New Roman"/>
          <w:sz w:val="24"/>
          <w:szCs w:val="24"/>
        </w:rPr>
        <w:t xml:space="preserve">Selon nous, les conventions de l’écriture scientifique ont tendance à gommer la mention des difficultés de l’enquête. Nous envisageons </w:t>
      </w:r>
      <w:r w:rsidRPr="002C6C2C">
        <w:rPr>
          <w:rFonts w:ascii="Times New Roman" w:hAnsi="Times New Roman"/>
          <w:sz w:val="24"/>
          <w:szCs w:val="24"/>
        </w:rPr>
        <w:t xml:space="preserve">de les décrire sans </w:t>
      </w:r>
      <w:r>
        <w:rPr>
          <w:rFonts w:ascii="Times New Roman" w:hAnsi="Times New Roman"/>
          <w:sz w:val="24"/>
          <w:szCs w:val="24"/>
        </w:rPr>
        <w:t xml:space="preserve">considérer </w:t>
      </w:r>
      <w:r w:rsidRPr="002C6C2C">
        <w:rPr>
          <w:rFonts w:ascii="Times New Roman" w:hAnsi="Times New Roman"/>
          <w:sz w:val="24"/>
          <w:szCs w:val="24"/>
        </w:rPr>
        <w:t xml:space="preserve">l’expérience de terrain comme une expérience individuelle, </w:t>
      </w:r>
      <w:r w:rsidRPr="004A6728">
        <w:rPr>
          <w:rFonts w:ascii="Times New Roman" w:hAnsi="Times New Roman"/>
          <w:sz w:val="24"/>
          <w:szCs w:val="24"/>
        </w:rPr>
        <w:t>"incommunicable parce que singulière", comme le lieu de  "pratiques obscures […] qui tiendraient à la fois de l’aventure et du bricolage et sur lesquelles il serait de bon ton d’observer la plus extrême discrétion"  (Digard, cité par Mauger, 1991).</w:t>
      </w:r>
    </w:p>
    <w:p w:rsidR="000E26DE" w:rsidRDefault="000E26DE" w:rsidP="003E0188">
      <w:pPr>
        <w:spacing w:before="100" w:beforeAutospacing="1" w:after="0" w:line="360" w:lineRule="auto"/>
        <w:jc w:val="both"/>
        <w:rPr>
          <w:rFonts w:ascii="Times New Roman" w:hAnsi="Times New Roman"/>
          <w:sz w:val="24"/>
          <w:szCs w:val="24"/>
        </w:rPr>
      </w:pPr>
      <w:r>
        <w:rPr>
          <w:rFonts w:ascii="Times New Roman" w:hAnsi="Times New Roman"/>
          <w:sz w:val="24"/>
          <w:szCs w:val="24"/>
        </w:rPr>
        <w:t>Notre proposition se décomposera en plusieurs axes de réflexion :</w:t>
      </w:r>
    </w:p>
    <w:p w:rsidR="000E26DE" w:rsidRPr="00C277DD" w:rsidRDefault="000E26DE" w:rsidP="004A6728">
      <w:pPr>
        <w:numPr>
          <w:ilvl w:val="0"/>
          <w:numId w:val="12"/>
        </w:numPr>
        <w:spacing w:before="100" w:beforeAutospacing="1" w:after="0" w:line="360" w:lineRule="auto"/>
        <w:jc w:val="both"/>
        <w:rPr>
          <w:rFonts w:ascii="Times New Roman" w:hAnsi="Times New Roman"/>
          <w:color w:val="000000"/>
          <w:sz w:val="24"/>
          <w:szCs w:val="24"/>
        </w:rPr>
      </w:pPr>
      <w:r>
        <w:rPr>
          <w:rFonts w:ascii="Times New Roman" w:hAnsi="Times New Roman"/>
          <w:sz w:val="24"/>
          <w:szCs w:val="24"/>
        </w:rPr>
        <w:t>E</w:t>
      </w:r>
      <w:r w:rsidRPr="003E0188">
        <w:rPr>
          <w:rFonts w:ascii="Times New Roman" w:hAnsi="Times New Roman"/>
          <w:sz w:val="24"/>
          <w:szCs w:val="24"/>
        </w:rPr>
        <w:t>nquêter auprès des plus faibles nécessite-t-il de recourir à des approche</w:t>
      </w:r>
      <w:r>
        <w:rPr>
          <w:rFonts w:ascii="Times New Roman" w:hAnsi="Times New Roman"/>
          <w:sz w:val="24"/>
          <w:szCs w:val="24"/>
        </w:rPr>
        <w:t xml:space="preserve">s méthodologiques spécifiques ? Comment ajuster sa posture entre proximité et distance ? </w:t>
      </w:r>
    </w:p>
    <w:p w:rsidR="000E26DE" w:rsidRPr="00C277DD" w:rsidRDefault="000E26DE" w:rsidP="004A6728">
      <w:pPr>
        <w:numPr>
          <w:ilvl w:val="0"/>
          <w:numId w:val="12"/>
        </w:numPr>
        <w:spacing w:before="100" w:beforeAutospacing="1" w:after="0" w:line="360" w:lineRule="auto"/>
        <w:jc w:val="both"/>
        <w:rPr>
          <w:rFonts w:ascii="Times New Roman" w:hAnsi="Times New Roman"/>
          <w:color w:val="000000"/>
          <w:sz w:val="24"/>
          <w:szCs w:val="24"/>
        </w:rPr>
      </w:pPr>
      <w:r w:rsidRPr="003E0188">
        <w:rPr>
          <w:rFonts w:ascii="Times New Roman" w:hAnsi="Times New Roman"/>
          <w:sz w:val="24"/>
          <w:szCs w:val="24"/>
        </w:rPr>
        <w:t xml:space="preserve">Quelle est la place de la subjectivité et des émotions du chercheur ? Comment les gère-t-il ? Quelles en sont les incidences sur l’interprétation des données et sur les connaissances produites ? </w:t>
      </w:r>
    </w:p>
    <w:p w:rsidR="000E26DE" w:rsidRDefault="000E26DE" w:rsidP="00C277DD">
      <w:pPr>
        <w:numPr>
          <w:ilvl w:val="0"/>
          <w:numId w:val="12"/>
        </w:numPr>
        <w:spacing w:before="100" w:beforeAutospacing="1"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La position affaiblie du témoin ne le contraint-elle pas à accepter la situation d’enquête pour satisfaire et ne pas contrarier les représentants de son </w:t>
      </w:r>
      <w:r w:rsidRPr="00EA5593">
        <w:rPr>
          <w:rFonts w:ascii="Times New Roman" w:hAnsi="Times New Roman"/>
          <w:color w:val="000000"/>
          <w:sz w:val="24"/>
          <w:szCs w:val="24"/>
        </w:rPr>
        <w:t>institution ?</w:t>
      </w:r>
      <w:r>
        <w:rPr>
          <w:rFonts w:ascii="Times New Roman" w:hAnsi="Times New Roman"/>
          <w:color w:val="000000"/>
          <w:sz w:val="24"/>
          <w:szCs w:val="24"/>
        </w:rPr>
        <w:t xml:space="preserve">  Dans ce cas, quel statut et quelle(s) valeur(s) attribuer à ces données recueillies dans un cadre injonctif ?</w:t>
      </w:r>
    </w:p>
    <w:p w:rsidR="000E26DE" w:rsidRPr="004A6728" w:rsidRDefault="000E26DE" w:rsidP="004A6728">
      <w:pPr>
        <w:numPr>
          <w:ilvl w:val="0"/>
          <w:numId w:val="12"/>
        </w:numPr>
        <w:spacing w:before="100" w:beforeAutospacing="1" w:after="0" w:line="360" w:lineRule="auto"/>
        <w:jc w:val="both"/>
        <w:rPr>
          <w:rFonts w:ascii="Times New Roman" w:hAnsi="Times New Roman"/>
          <w:color w:val="000000"/>
          <w:sz w:val="24"/>
          <w:szCs w:val="24"/>
        </w:rPr>
      </w:pPr>
      <w:r>
        <w:rPr>
          <w:rFonts w:ascii="Times New Roman" w:hAnsi="Times New Roman"/>
          <w:color w:val="000000"/>
          <w:sz w:val="24"/>
          <w:szCs w:val="24"/>
        </w:rPr>
        <w:t>Quelles sont les incidences des injonctions institutionnelles, des attentes des financeurs sur le recueil de données, sur l’objet de recherche? Comment passe-t-on des interrogations des financeurs à la formalisation d’un objet de recherche problématisé ?</w:t>
      </w:r>
    </w:p>
    <w:p w:rsidR="000E26DE" w:rsidRPr="00CB190C" w:rsidRDefault="000E26DE" w:rsidP="00CB190C">
      <w:pPr>
        <w:spacing w:before="100" w:beforeAutospacing="1" w:after="0" w:line="360" w:lineRule="auto"/>
        <w:jc w:val="both"/>
        <w:rPr>
          <w:rFonts w:ascii="Times New Roman" w:hAnsi="Times New Roman"/>
          <w:color w:val="000000"/>
          <w:sz w:val="24"/>
          <w:szCs w:val="24"/>
        </w:rPr>
      </w:pPr>
      <w:r w:rsidRPr="003E0188">
        <w:rPr>
          <w:rFonts w:ascii="Times New Roman" w:hAnsi="Times New Roman"/>
          <w:sz w:val="24"/>
          <w:szCs w:val="24"/>
        </w:rPr>
        <w:t xml:space="preserve">Ces questions révèlent, selon nous, la perception qu’à chacun de ce qu’est </w:t>
      </w:r>
      <w:r w:rsidRPr="003E0188">
        <w:rPr>
          <w:rFonts w:ascii="Times New Roman" w:hAnsi="Times New Roman"/>
          <w:i/>
          <w:sz w:val="24"/>
          <w:szCs w:val="24"/>
        </w:rPr>
        <w:t>faire de la recherche</w:t>
      </w:r>
      <w:r w:rsidRPr="003E0188">
        <w:rPr>
          <w:rFonts w:ascii="Times New Roman" w:hAnsi="Times New Roman"/>
          <w:sz w:val="24"/>
          <w:szCs w:val="24"/>
        </w:rPr>
        <w:t>, la façon dont chacun conçoit qu’il faille procéder pour acquérir des connaissances valables sur les phénomènes (Giroux et Tremblay, 2009, p.7).</w:t>
      </w:r>
      <w:r w:rsidRPr="003E0188">
        <w:rPr>
          <w:rFonts w:ascii="Times New Roman" w:hAnsi="Times New Roman"/>
          <w:color w:val="000000"/>
          <w:sz w:val="24"/>
          <w:szCs w:val="24"/>
        </w:rPr>
        <w:t xml:space="preserve"> </w:t>
      </w:r>
    </w:p>
    <w:p w:rsidR="000E26DE" w:rsidRPr="00CB190C" w:rsidRDefault="000E26DE" w:rsidP="00CB190C">
      <w:pPr>
        <w:shd w:val="clear" w:color="auto" w:fill="FFFFFF"/>
        <w:spacing w:after="0" w:line="288" w:lineRule="atLeast"/>
        <w:jc w:val="both"/>
        <w:rPr>
          <w:rFonts w:ascii="Times New Roman" w:hAnsi="Times New Roman"/>
          <w:color w:val="222222"/>
          <w:sz w:val="24"/>
          <w:szCs w:val="24"/>
        </w:rPr>
      </w:pPr>
      <w:r w:rsidRPr="00CB190C">
        <w:rPr>
          <w:rFonts w:ascii="Times New Roman" w:hAnsi="Times New Roman"/>
          <w:color w:val="222222"/>
          <w:sz w:val="24"/>
          <w:szCs w:val="24"/>
        </w:rPr>
        <w:t>Bézille, H. (2000). De l’usage du témoignage dans la recherche en sciences sociales. In J. Feldman &amp; R. Kanther Kohn (dir.), </w:t>
      </w:r>
      <w:r w:rsidRPr="00CB190C">
        <w:rPr>
          <w:rFonts w:ascii="Times New Roman" w:hAnsi="Times New Roman"/>
          <w:i/>
          <w:iCs/>
          <w:color w:val="222222"/>
          <w:sz w:val="24"/>
          <w:szCs w:val="24"/>
        </w:rPr>
        <w:t>L’éthique dans la pratique des sciences humaines : dilemmes</w:t>
      </w:r>
      <w:r w:rsidRPr="00CB190C">
        <w:rPr>
          <w:rFonts w:ascii="Times New Roman" w:hAnsi="Times New Roman"/>
          <w:color w:val="222222"/>
          <w:sz w:val="24"/>
          <w:szCs w:val="24"/>
        </w:rPr>
        <w:t> (p. 201-222). Paris, France : L’harmattan</w:t>
      </w:r>
    </w:p>
    <w:p w:rsidR="000E26DE" w:rsidRPr="00CB190C" w:rsidRDefault="000E26DE" w:rsidP="00CB190C">
      <w:pPr>
        <w:shd w:val="clear" w:color="auto" w:fill="FFFFFF"/>
        <w:spacing w:after="0" w:line="288" w:lineRule="atLeast"/>
        <w:jc w:val="both"/>
        <w:rPr>
          <w:rFonts w:ascii="Times New Roman" w:hAnsi="Times New Roman"/>
          <w:color w:val="222222"/>
          <w:sz w:val="24"/>
          <w:szCs w:val="24"/>
        </w:rPr>
      </w:pPr>
      <w:r w:rsidRPr="00CB190C">
        <w:rPr>
          <w:rFonts w:ascii="Times New Roman" w:hAnsi="Times New Roman"/>
          <w:color w:val="222222"/>
          <w:sz w:val="24"/>
          <w:szCs w:val="24"/>
        </w:rPr>
        <w:t>Bizeul, D. (1999). Faire avec les déconvenues une enquête en milieu nomade.</w:t>
      </w:r>
      <w:r w:rsidRPr="00CB190C">
        <w:rPr>
          <w:rFonts w:ascii="Times New Roman" w:hAnsi="Times New Roman"/>
          <w:i/>
          <w:iCs/>
          <w:color w:val="222222"/>
          <w:sz w:val="24"/>
          <w:szCs w:val="24"/>
        </w:rPr>
        <w:t> Sociétés Contemporaines, 33-34</w:t>
      </w:r>
      <w:r w:rsidRPr="00CB190C">
        <w:rPr>
          <w:rFonts w:ascii="Times New Roman" w:hAnsi="Times New Roman"/>
          <w:color w:val="222222"/>
          <w:sz w:val="24"/>
          <w:szCs w:val="24"/>
        </w:rPr>
        <w:t>, 111-137.</w:t>
      </w:r>
    </w:p>
    <w:p w:rsidR="000E26DE" w:rsidRPr="00CB190C" w:rsidRDefault="000E26DE" w:rsidP="00CB190C">
      <w:pPr>
        <w:shd w:val="clear" w:color="auto" w:fill="FFFFFF"/>
        <w:spacing w:after="0" w:line="288" w:lineRule="atLeast"/>
        <w:jc w:val="both"/>
        <w:rPr>
          <w:rFonts w:ascii="Times New Roman" w:hAnsi="Times New Roman"/>
          <w:color w:val="222222"/>
          <w:sz w:val="24"/>
          <w:szCs w:val="24"/>
        </w:rPr>
      </w:pPr>
      <w:r w:rsidRPr="00CB190C">
        <w:rPr>
          <w:rFonts w:ascii="Times New Roman" w:hAnsi="Times New Roman"/>
          <w:color w:val="222222"/>
          <w:sz w:val="24"/>
          <w:szCs w:val="24"/>
        </w:rPr>
        <w:t>Bruneteaux, P. &amp; Lanzarini, C. (1998). Les entretiens informels. </w:t>
      </w:r>
      <w:r w:rsidRPr="00CB190C">
        <w:rPr>
          <w:rFonts w:ascii="Times New Roman" w:hAnsi="Times New Roman"/>
          <w:i/>
          <w:iCs/>
          <w:color w:val="222222"/>
          <w:sz w:val="24"/>
          <w:szCs w:val="24"/>
        </w:rPr>
        <w:t>Sociétés Contemporaines, 30,</w:t>
      </w:r>
      <w:r w:rsidRPr="00CB190C">
        <w:rPr>
          <w:rFonts w:ascii="Times New Roman" w:hAnsi="Times New Roman"/>
          <w:color w:val="222222"/>
          <w:sz w:val="24"/>
          <w:szCs w:val="24"/>
        </w:rPr>
        <w:t> 157-180.</w:t>
      </w:r>
    </w:p>
    <w:p w:rsidR="000E26DE" w:rsidRDefault="000E26DE" w:rsidP="00CB190C">
      <w:pPr>
        <w:shd w:val="clear" w:color="auto" w:fill="FFFFFF"/>
        <w:spacing w:after="0" w:line="288" w:lineRule="atLeast"/>
        <w:jc w:val="both"/>
        <w:rPr>
          <w:rFonts w:ascii="Times New Roman" w:hAnsi="Times New Roman"/>
          <w:color w:val="222222"/>
          <w:sz w:val="24"/>
          <w:szCs w:val="24"/>
        </w:rPr>
      </w:pPr>
      <w:r w:rsidRPr="00CB190C">
        <w:rPr>
          <w:rFonts w:ascii="Times New Roman" w:hAnsi="Times New Roman"/>
          <w:color w:val="222222"/>
          <w:sz w:val="24"/>
          <w:szCs w:val="24"/>
        </w:rPr>
        <w:t>Castel, R. (1990). Le roman de la désaffiliation. A propos de Tristan et Iseut. </w:t>
      </w:r>
      <w:r w:rsidRPr="00CB190C">
        <w:rPr>
          <w:rFonts w:ascii="Times New Roman" w:hAnsi="Times New Roman"/>
          <w:i/>
          <w:iCs/>
          <w:color w:val="222222"/>
          <w:sz w:val="24"/>
          <w:szCs w:val="24"/>
        </w:rPr>
        <w:t>Le débat, 61,</w:t>
      </w:r>
      <w:r w:rsidRPr="00CB190C">
        <w:rPr>
          <w:rFonts w:ascii="Times New Roman" w:hAnsi="Times New Roman"/>
          <w:color w:val="222222"/>
          <w:sz w:val="24"/>
          <w:szCs w:val="24"/>
        </w:rPr>
        <w:t> 152-164.</w:t>
      </w:r>
    </w:p>
    <w:p w:rsidR="000E26DE" w:rsidRDefault="000E26DE" w:rsidP="00CB190C">
      <w:pPr>
        <w:spacing w:after="0"/>
        <w:rPr>
          <w:rFonts w:ascii="Times New Roman" w:hAnsi="Times New Roman"/>
          <w:sz w:val="24"/>
          <w:szCs w:val="24"/>
        </w:rPr>
      </w:pPr>
      <w:r>
        <w:rPr>
          <w:rFonts w:ascii="Times New Roman" w:hAnsi="Times New Roman"/>
          <w:sz w:val="24"/>
          <w:szCs w:val="24"/>
        </w:rPr>
        <w:t xml:space="preserve">Dumez, H. (2012). Qu’est-ce que la recherche qualitative ? </w:t>
      </w:r>
      <w:r w:rsidRPr="00CB190C">
        <w:rPr>
          <w:rFonts w:ascii="Times New Roman" w:hAnsi="Times New Roman"/>
          <w:i/>
          <w:sz w:val="24"/>
          <w:szCs w:val="24"/>
        </w:rPr>
        <w:t>Le Libellio d’AEGIS</w:t>
      </w:r>
      <w:r>
        <w:rPr>
          <w:rFonts w:ascii="Times New Roman" w:hAnsi="Times New Roman"/>
          <w:sz w:val="24"/>
          <w:szCs w:val="24"/>
        </w:rPr>
        <w:t>, 7 (4), 47-58.</w:t>
      </w:r>
    </w:p>
    <w:p w:rsidR="000E26DE" w:rsidRPr="00CB190C" w:rsidRDefault="000E26DE" w:rsidP="00CB190C">
      <w:pPr>
        <w:shd w:val="clear" w:color="auto" w:fill="FFFFFF"/>
        <w:spacing w:after="0" w:line="288" w:lineRule="atLeast"/>
        <w:jc w:val="both"/>
        <w:rPr>
          <w:rFonts w:ascii="Times New Roman" w:hAnsi="Times New Roman"/>
          <w:color w:val="222222"/>
          <w:sz w:val="24"/>
          <w:szCs w:val="24"/>
        </w:rPr>
      </w:pPr>
      <w:r w:rsidRPr="00CB190C">
        <w:rPr>
          <w:rFonts w:ascii="Times New Roman" w:hAnsi="Times New Roman"/>
          <w:color w:val="222222"/>
          <w:sz w:val="24"/>
          <w:szCs w:val="24"/>
        </w:rPr>
        <w:t>Ebersold, S. (2001). </w:t>
      </w:r>
      <w:r w:rsidRPr="00CB190C">
        <w:rPr>
          <w:rFonts w:ascii="Times New Roman" w:hAnsi="Times New Roman"/>
          <w:i/>
          <w:iCs/>
          <w:color w:val="222222"/>
          <w:sz w:val="24"/>
          <w:szCs w:val="24"/>
        </w:rPr>
        <w:t>La naissance de l’inemployable ou l’insertion aux risques de l’exclusion</w:t>
      </w:r>
      <w:r w:rsidRPr="00CB190C">
        <w:rPr>
          <w:rFonts w:ascii="Times New Roman" w:hAnsi="Times New Roman"/>
          <w:color w:val="222222"/>
          <w:sz w:val="24"/>
          <w:szCs w:val="24"/>
        </w:rPr>
        <w:t>. Rennes, France : PUR.</w:t>
      </w:r>
    </w:p>
    <w:p w:rsidR="000E26DE" w:rsidRPr="00CB190C" w:rsidRDefault="000E26DE" w:rsidP="00CB190C">
      <w:pPr>
        <w:shd w:val="clear" w:color="auto" w:fill="FFFFFF"/>
        <w:spacing w:after="0" w:line="288" w:lineRule="atLeast"/>
        <w:jc w:val="both"/>
        <w:rPr>
          <w:rFonts w:ascii="Times New Roman" w:hAnsi="Times New Roman"/>
          <w:color w:val="222222"/>
          <w:sz w:val="24"/>
          <w:szCs w:val="24"/>
        </w:rPr>
      </w:pPr>
      <w:r w:rsidRPr="00CB190C">
        <w:rPr>
          <w:rFonts w:ascii="Times New Roman" w:hAnsi="Times New Roman"/>
          <w:color w:val="222222"/>
          <w:sz w:val="24"/>
          <w:szCs w:val="24"/>
        </w:rPr>
        <w:t>Favret-Saada, J. (1977). </w:t>
      </w:r>
      <w:r w:rsidRPr="00CB190C">
        <w:rPr>
          <w:rFonts w:ascii="Times New Roman" w:hAnsi="Times New Roman"/>
          <w:i/>
          <w:iCs/>
          <w:color w:val="222222"/>
          <w:sz w:val="24"/>
          <w:szCs w:val="24"/>
        </w:rPr>
        <w:t>Les mots, la mort, les sorts. La sorcellerie dans le bocage</w:t>
      </w:r>
      <w:r w:rsidRPr="00CB190C">
        <w:rPr>
          <w:rFonts w:ascii="Times New Roman" w:hAnsi="Times New Roman"/>
          <w:color w:val="222222"/>
          <w:sz w:val="24"/>
          <w:szCs w:val="24"/>
        </w:rPr>
        <w:t>. Paris, France : Gallimard.</w:t>
      </w:r>
    </w:p>
    <w:p w:rsidR="000E26DE" w:rsidRPr="00CB190C" w:rsidRDefault="000E26DE" w:rsidP="00CB190C">
      <w:pPr>
        <w:shd w:val="clear" w:color="auto" w:fill="FFFFFF"/>
        <w:spacing w:after="0" w:line="288" w:lineRule="atLeast"/>
        <w:jc w:val="both"/>
        <w:rPr>
          <w:rFonts w:ascii="Times New Roman" w:hAnsi="Times New Roman"/>
          <w:color w:val="222222"/>
          <w:sz w:val="24"/>
          <w:szCs w:val="24"/>
        </w:rPr>
      </w:pPr>
      <w:r w:rsidRPr="00CB190C">
        <w:rPr>
          <w:rFonts w:ascii="Times New Roman" w:hAnsi="Times New Roman"/>
          <w:color w:val="222222"/>
          <w:sz w:val="24"/>
          <w:szCs w:val="24"/>
        </w:rPr>
        <w:t>Feldman, J. &amp; Kanther Kohn, R. (2000). </w:t>
      </w:r>
      <w:r w:rsidRPr="00CB190C">
        <w:rPr>
          <w:rFonts w:ascii="Times New Roman" w:hAnsi="Times New Roman"/>
          <w:i/>
          <w:iCs/>
          <w:color w:val="222222"/>
          <w:sz w:val="24"/>
          <w:szCs w:val="24"/>
        </w:rPr>
        <w:t>L’éthique dans la pratique des sciences humaines : dilemmes</w:t>
      </w:r>
      <w:r w:rsidRPr="00CB190C">
        <w:rPr>
          <w:rFonts w:ascii="Times New Roman" w:hAnsi="Times New Roman"/>
          <w:color w:val="222222"/>
          <w:sz w:val="24"/>
          <w:szCs w:val="24"/>
        </w:rPr>
        <w:t>. Paris, France : L’Harmattan.</w:t>
      </w:r>
    </w:p>
    <w:p w:rsidR="000E26DE" w:rsidRPr="00CB190C" w:rsidRDefault="000E26DE" w:rsidP="00CB190C">
      <w:pPr>
        <w:shd w:val="clear" w:color="auto" w:fill="FFFFFF"/>
        <w:spacing w:after="0" w:line="288" w:lineRule="atLeast"/>
        <w:jc w:val="both"/>
        <w:rPr>
          <w:rFonts w:ascii="Times New Roman" w:hAnsi="Times New Roman"/>
          <w:color w:val="222222"/>
          <w:sz w:val="24"/>
          <w:szCs w:val="24"/>
        </w:rPr>
      </w:pPr>
      <w:r w:rsidRPr="00CB190C">
        <w:rPr>
          <w:rFonts w:ascii="Times New Roman" w:hAnsi="Times New Roman"/>
          <w:color w:val="222222"/>
          <w:sz w:val="24"/>
          <w:szCs w:val="24"/>
        </w:rPr>
        <w:t>Giroux, S. &amp; Tremblay, G. (2009). </w:t>
      </w:r>
      <w:r w:rsidRPr="00CB190C">
        <w:rPr>
          <w:rFonts w:ascii="Times New Roman" w:hAnsi="Times New Roman"/>
          <w:i/>
          <w:iCs/>
          <w:color w:val="222222"/>
          <w:sz w:val="24"/>
          <w:szCs w:val="24"/>
        </w:rPr>
        <w:t>Méthodologie des sciences humaines. La recherche en action. 3e édition.</w:t>
      </w:r>
      <w:r w:rsidRPr="00CB190C">
        <w:rPr>
          <w:rFonts w:ascii="Times New Roman" w:hAnsi="Times New Roman"/>
          <w:color w:val="222222"/>
          <w:sz w:val="24"/>
          <w:szCs w:val="24"/>
        </w:rPr>
        <w:t> Montréal, Canada, EPRI.</w:t>
      </w:r>
    </w:p>
    <w:p w:rsidR="000E26DE" w:rsidRPr="00CB190C" w:rsidRDefault="000E26DE" w:rsidP="00CB190C">
      <w:pPr>
        <w:shd w:val="clear" w:color="auto" w:fill="FFFFFF"/>
        <w:spacing w:after="0" w:line="288" w:lineRule="atLeast"/>
        <w:jc w:val="both"/>
        <w:rPr>
          <w:rFonts w:ascii="Times New Roman" w:hAnsi="Times New Roman"/>
          <w:color w:val="222222"/>
          <w:sz w:val="24"/>
          <w:szCs w:val="24"/>
        </w:rPr>
      </w:pPr>
      <w:r w:rsidRPr="00CB190C">
        <w:rPr>
          <w:rFonts w:ascii="Times New Roman" w:hAnsi="Times New Roman"/>
          <w:color w:val="222222"/>
          <w:sz w:val="24"/>
          <w:szCs w:val="24"/>
        </w:rPr>
        <w:t>Frétigné, C. (2011). </w:t>
      </w:r>
      <w:r w:rsidRPr="00CB190C">
        <w:rPr>
          <w:rFonts w:ascii="Times New Roman" w:hAnsi="Times New Roman"/>
          <w:i/>
          <w:iCs/>
          <w:color w:val="222222"/>
          <w:sz w:val="24"/>
          <w:szCs w:val="24"/>
        </w:rPr>
        <w:t>Exclusion, insertion et formation en questions</w:t>
      </w:r>
      <w:r w:rsidRPr="00CB190C">
        <w:rPr>
          <w:rFonts w:ascii="Times New Roman" w:hAnsi="Times New Roman"/>
          <w:color w:val="222222"/>
          <w:sz w:val="24"/>
          <w:szCs w:val="24"/>
        </w:rPr>
        <w:t>. Paris : France : L’Harmattan.</w:t>
      </w:r>
    </w:p>
    <w:p w:rsidR="000E26DE" w:rsidRPr="00CB190C" w:rsidRDefault="000E26DE" w:rsidP="00CB190C">
      <w:pPr>
        <w:shd w:val="clear" w:color="auto" w:fill="FFFFFF"/>
        <w:spacing w:after="0" w:line="288" w:lineRule="atLeast"/>
        <w:jc w:val="both"/>
        <w:rPr>
          <w:rFonts w:ascii="Times New Roman" w:hAnsi="Times New Roman"/>
          <w:color w:val="222222"/>
          <w:sz w:val="24"/>
          <w:szCs w:val="24"/>
        </w:rPr>
      </w:pPr>
      <w:r w:rsidRPr="00CB190C">
        <w:rPr>
          <w:rFonts w:ascii="Times New Roman" w:hAnsi="Times New Roman"/>
          <w:color w:val="222222"/>
          <w:sz w:val="24"/>
          <w:szCs w:val="24"/>
        </w:rPr>
        <w:t>Mauger, G. (1991). Enquêter en milieu populaire</w:t>
      </w:r>
      <w:r w:rsidRPr="00CB190C">
        <w:rPr>
          <w:rFonts w:ascii="Times New Roman" w:hAnsi="Times New Roman"/>
          <w:i/>
          <w:iCs/>
          <w:color w:val="222222"/>
          <w:sz w:val="24"/>
          <w:szCs w:val="24"/>
        </w:rPr>
        <w:t>.</w:t>
      </w:r>
      <w:r w:rsidRPr="00CB190C">
        <w:rPr>
          <w:rFonts w:ascii="Times New Roman" w:hAnsi="Times New Roman"/>
          <w:color w:val="222222"/>
          <w:sz w:val="24"/>
          <w:szCs w:val="24"/>
        </w:rPr>
        <w:t> </w:t>
      </w:r>
      <w:r w:rsidRPr="00CB190C">
        <w:rPr>
          <w:rFonts w:ascii="Times New Roman" w:hAnsi="Times New Roman"/>
          <w:i/>
          <w:iCs/>
          <w:color w:val="222222"/>
          <w:sz w:val="24"/>
          <w:szCs w:val="24"/>
        </w:rPr>
        <w:t>Genèses, 6,</w:t>
      </w:r>
      <w:r w:rsidRPr="00CB190C">
        <w:rPr>
          <w:rFonts w:ascii="Times New Roman" w:hAnsi="Times New Roman"/>
          <w:color w:val="222222"/>
          <w:sz w:val="24"/>
          <w:szCs w:val="24"/>
        </w:rPr>
        <w:t> 125-143.</w:t>
      </w:r>
    </w:p>
    <w:p w:rsidR="000E26DE" w:rsidRDefault="000E26DE" w:rsidP="00CB190C">
      <w:pPr>
        <w:spacing w:after="0"/>
        <w:rPr>
          <w:rFonts w:ascii="Times New Roman" w:hAnsi="Times New Roman"/>
          <w:sz w:val="24"/>
          <w:szCs w:val="24"/>
        </w:rPr>
      </w:pPr>
      <w:r>
        <w:rPr>
          <w:rFonts w:ascii="Times New Roman" w:hAnsi="Times New Roman"/>
          <w:sz w:val="24"/>
          <w:szCs w:val="24"/>
        </w:rPr>
        <w:t xml:space="preserve">Paillé, P., Mucchielli, A. (2003). </w:t>
      </w:r>
      <w:r w:rsidRPr="00CB190C">
        <w:rPr>
          <w:rFonts w:ascii="Times New Roman" w:hAnsi="Times New Roman"/>
          <w:i/>
          <w:sz w:val="24"/>
          <w:szCs w:val="24"/>
        </w:rPr>
        <w:t>L’analyse qualitative en Sciences Humaines et Sociales</w:t>
      </w:r>
      <w:r>
        <w:rPr>
          <w:rFonts w:ascii="Times New Roman" w:hAnsi="Times New Roman"/>
          <w:sz w:val="24"/>
          <w:szCs w:val="24"/>
        </w:rPr>
        <w:t>. Paris, France : A. Collin</w:t>
      </w:r>
    </w:p>
    <w:p w:rsidR="000E26DE" w:rsidRPr="00CB190C" w:rsidRDefault="000E26DE" w:rsidP="00CB190C">
      <w:pPr>
        <w:shd w:val="clear" w:color="auto" w:fill="FFFFFF"/>
        <w:spacing w:after="0" w:line="240" w:lineRule="auto"/>
        <w:jc w:val="both"/>
        <w:rPr>
          <w:rFonts w:ascii="Times New Roman" w:hAnsi="Times New Roman"/>
          <w:color w:val="222222"/>
          <w:sz w:val="24"/>
          <w:szCs w:val="24"/>
        </w:rPr>
      </w:pPr>
      <w:r w:rsidRPr="00CB190C">
        <w:rPr>
          <w:rFonts w:ascii="Times New Roman" w:hAnsi="Times New Roman"/>
          <w:color w:val="222222"/>
          <w:sz w:val="24"/>
          <w:szCs w:val="24"/>
        </w:rPr>
        <w:t>Papinot, C. (2013). Erreurs, biais, perturbations de l’observateur et autres "mauvais génies" des sciences sociales. </w:t>
      </w:r>
      <w:r w:rsidRPr="00CB190C">
        <w:rPr>
          <w:rFonts w:ascii="Times New Roman" w:hAnsi="Times New Roman"/>
          <w:i/>
          <w:iCs/>
          <w:color w:val="222222"/>
          <w:sz w:val="24"/>
          <w:szCs w:val="24"/>
        </w:rPr>
        <w:t>SociologieS, 19,</w:t>
      </w:r>
      <w:r w:rsidRPr="00CB190C">
        <w:rPr>
          <w:rFonts w:ascii="Times New Roman" w:hAnsi="Times New Roman"/>
          <w:color w:val="222222"/>
          <w:sz w:val="24"/>
          <w:szCs w:val="24"/>
        </w:rPr>
        <w:t>  [En ligne] </w:t>
      </w:r>
      <w:hyperlink r:id="rId7" w:tgtFrame="_blank" w:history="1">
        <w:r w:rsidRPr="00CB190C">
          <w:rPr>
            <w:rFonts w:ascii="Times New Roman" w:hAnsi="Times New Roman"/>
            <w:color w:val="1155CC"/>
            <w:sz w:val="24"/>
            <w:szCs w:val="24"/>
            <w:u w:val="single"/>
          </w:rPr>
          <w:t>http://sociologies.revues.org/4534</w:t>
        </w:r>
      </w:hyperlink>
    </w:p>
    <w:p w:rsidR="000E26DE" w:rsidRPr="00CB190C" w:rsidRDefault="000E26DE" w:rsidP="00CB190C">
      <w:pPr>
        <w:shd w:val="clear" w:color="auto" w:fill="FFFFFF"/>
        <w:spacing w:after="0" w:line="288" w:lineRule="atLeast"/>
        <w:jc w:val="both"/>
        <w:rPr>
          <w:rFonts w:ascii="Times New Roman" w:hAnsi="Times New Roman"/>
          <w:color w:val="222222"/>
          <w:sz w:val="24"/>
          <w:szCs w:val="24"/>
        </w:rPr>
      </w:pPr>
      <w:r w:rsidRPr="00CB190C">
        <w:rPr>
          <w:rFonts w:ascii="Times New Roman" w:hAnsi="Times New Roman"/>
          <w:color w:val="222222"/>
          <w:sz w:val="24"/>
          <w:szCs w:val="24"/>
        </w:rPr>
        <w:t>Rosanvallon, P. (1995). </w:t>
      </w:r>
      <w:r w:rsidRPr="00CB190C">
        <w:rPr>
          <w:rFonts w:ascii="Times New Roman" w:hAnsi="Times New Roman"/>
          <w:i/>
          <w:iCs/>
          <w:color w:val="222222"/>
          <w:sz w:val="24"/>
          <w:szCs w:val="24"/>
        </w:rPr>
        <w:t>La nouvelle question sociale. Repenser l’Etat-Providence</w:t>
      </w:r>
      <w:r w:rsidRPr="00CB190C">
        <w:rPr>
          <w:rFonts w:ascii="Times New Roman" w:hAnsi="Times New Roman"/>
          <w:color w:val="222222"/>
          <w:sz w:val="24"/>
          <w:szCs w:val="24"/>
        </w:rPr>
        <w:t>. Paris, France : Le seuil.</w:t>
      </w:r>
    </w:p>
    <w:p w:rsidR="000E26DE" w:rsidRPr="00151BB1" w:rsidRDefault="000E26DE" w:rsidP="00B21494">
      <w:pPr>
        <w:rPr>
          <w:rFonts w:ascii="Times New Roman" w:hAnsi="Times New Roman"/>
          <w:sz w:val="24"/>
          <w:szCs w:val="24"/>
        </w:rPr>
      </w:pPr>
    </w:p>
    <w:sectPr w:rsidR="000E26DE" w:rsidRPr="00151BB1" w:rsidSect="008211A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6DE" w:rsidRDefault="000E26DE">
      <w:r>
        <w:separator/>
      </w:r>
    </w:p>
  </w:endnote>
  <w:endnote w:type="continuationSeparator" w:id="0">
    <w:p w:rsidR="000E26DE" w:rsidRDefault="000E2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6DE" w:rsidRDefault="000E26DE">
      <w:r>
        <w:separator/>
      </w:r>
    </w:p>
  </w:footnote>
  <w:footnote w:type="continuationSeparator" w:id="0">
    <w:p w:rsidR="000E26DE" w:rsidRDefault="000E26DE">
      <w:r>
        <w:continuationSeparator/>
      </w:r>
    </w:p>
  </w:footnote>
  <w:footnote w:id="1">
    <w:p w:rsidR="000E26DE" w:rsidRDefault="000E26DE" w:rsidP="00216F8E">
      <w:pPr>
        <w:pStyle w:val="FootnoteText"/>
        <w:spacing w:after="0" w:line="240" w:lineRule="auto"/>
      </w:pPr>
      <w:r>
        <w:rPr>
          <w:rStyle w:val="FootnoteReference"/>
        </w:rPr>
        <w:footnoteRef/>
      </w:r>
      <w:r>
        <w:t xml:space="preserve"> </w:t>
      </w:r>
      <w:r w:rsidRPr="00216F8E">
        <w:rPr>
          <w:rFonts w:ascii="Times New Roman" w:hAnsi="Times New Roman"/>
          <w:bCs/>
        </w:rPr>
        <w:t>ateliers et chantiers d’insertion (ACI), organismes de formation, missions locales, école de la deuxième chance (E2C) dans le Nord-Pas de Calais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E84E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CCA1D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C890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774AA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905F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34D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B0F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026F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2C61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0E8EAE"/>
    <w:lvl w:ilvl="0">
      <w:start w:val="1"/>
      <w:numFmt w:val="bullet"/>
      <w:lvlText w:val=""/>
      <w:lvlJc w:val="left"/>
      <w:pPr>
        <w:tabs>
          <w:tab w:val="num" w:pos="360"/>
        </w:tabs>
        <w:ind w:left="360" w:hanging="360"/>
      </w:pPr>
      <w:rPr>
        <w:rFonts w:ascii="Symbol" w:hAnsi="Symbol" w:hint="default"/>
      </w:rPr>
    </w:lvl>
  </w:abstractNum>
  <w:abstractNum w:abstractNumId="10">
    <w:nsid w:val="35B92F1E"/>
    <w:multiLevelType w:val="hybridMultilevel"/>
    <w:tmpl w:val="3C8AF0AE"/>
    <w:lvl w:ilvl="0" w:tplc="1FBA799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30C5BAF"/>
    <w:multiLevelType w:val="hybridMultilevel"/>
    <w:tmpl w:val="0346DD50"/>
    <w:lvl w:ilvl="0" w:tplc="872E6BAC">
      <w:numFmt w:val="bullet"/>
      <w:lvlText w:val="-"/>
      <w:lvlJc w:val="left"/>
      <w:pPr>
        <w:tabs>
          <w:tab w:val="num" w:pos="720"/>
        </w:tabs>
        <w:ind w:left="720" w:hanging="360"/>
      </w:pPr>
      <w:rPr>
        <w:rFonts w:ascii="Times New Roman" w:eastAsia="Times New Roman" w:hAnsi="Times New Roman"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494"/>
    <w:rsid w:val="00030047"/>
    <w:rsid w:val="00093351"/>
    <w:rsid w:val="000E26DE"/>
    <w:rsid w:val="0014031C"/>
    <w:rsid w:val="00151BB1"/>
    <w:rsid w:val="001A15A4"/>
    <w:rsid w:val="001E713A"/>
    <w:rsid w:val="00216F8E"/>
    <w:rsid w:val="002255FE"/>
    <w:rsid w:val="002C6C2C"/>
    <w:rsid w:val="00356B95"/>
    <w:rsid w:val="003E0188"/>
    <w:rsid w:val="004A6728"/>
    <w:rsid w:val="00517E51"/>
    <w:rsid w:val="00530030"/>
    <w:rsid w:val="006221F8"/>
    <w:rsid w:val="0064759D"/>
    <w:rsid w:val="006841C4"/>
    <w:rsid w:val="006E0F4E"/>
    <w:rsid w:val="00713368"/>
    <w:rsid w:val="00743831"/>
    <w:rsid w:val="007978A3"/>
    <w:rsid w:val="007C01F8"/>
    <w:rsid w:val="008211A7"/>
    <w:rsid w:val="008605A3"/>
    <w:rsid w:val="00877279"/>
    <w:rsid w:val="00890B55"/>
    <w:rsid w:val="008A0E8A"/>
    <w:rsid w:val="008C325D"/>
    <w:rsid w:val="00916AFC"/>
    <w:rsid w:val="00980D12"/>
    <w:rsid w:val="00B01602"/>
    <w:rsid w:val="00B13513"/>
    <w:rsid w:val="00B21494"/>
    <w:rsid w:val="00BA2B80"/>
    <w:rsid w:val="00BB3036"/>
    <w:rsid w:val="00BD58A1"/>
    <w:rsid w:val="00C277DD"/>
    <w:rsid w:val="00C37E94"/>
    <w:rsid w:val="00C9146E"/>
    <w:rsid w:val="00CB190C"/>
    <w:rsid w:val="00DA1BB3"/>
    <w:rsid w:val="00DC5503"/>
    <w:rsid w:val="00EA5593"/>
    <w:rsid w:val="00F06D5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2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uiPriority w:val="99"/>
    <w:rsid w:val="00151BB1"/>
    <w:pPr>
      <w:suppressAutoHyphens/>
      <w:spacing w:before="280" w:after="280" w:line="360" w:lineRule="auto"/>
      <w:ind w:firstLine="709"/>
      <w:jc w:val="both"/>
    </w:pPr>
    <w:rPr>
      <w:rFonts w:ascii="Times New Roman" w:hAnsi="Times New Roman"/>
      <w:kern w:val="1"/>
      <w:sz w:val="24"/>
      <w:szCs w:val="24"/>
      <w:lang w:eastAsia="zh-CN"/>
    </w:rPr>
  </w:style>
  <w:style w:type="paragraph" w:styleId="FootnoteText">
    <w:name w:val="footnote text"/>
    <w:basedOn w:val="Normal"/>
    <w:link w:val="FootnoteTextChar"/>
    <w:uiPriority w:val="99"/>
    <w:semiHidden/>
    <w:rsid w:val="00216F8E"/>
    <w:rPr>
      <w:sz w:val="20"/>
      <w:szCs w:val="20"/>
    </w:rPr>
  </w:style>
  <w:style w:type="character" w:customStyle="1" w:styleId="FootnoteTextChar">
    <w:name w:val="Footnote Text Char"/>
    <w:basedOn w:val="DefaultParagraphFont"/>
    <w:link w:val="FootnoteText"/>
    <w:uiPriority w:val="99"/>
    <w:semiHidden/>
    <w:rsid w:val="00FA3E8B"/>
    <w:rPr>
      <w:sz w:val="20"/>
      <w:szCs w:val="20"/>
    </w:rPr>
  </w:style>
  <w:style w:type="character" w:styleId="FootnoteReference">
    <w:name w:val="footnote reference"/>
    <w:basedOn w:val="DefaultParagraphFont"/>
    <w:uiPriority w:val="99"/>
    <w:semiHidden/>
    <w:rsid w:val="00216F8E"/>
    <w:rPr>
      <w:rFonts w:cs="Times New Roman"/>
      <w:vertAlign w:val="superscript"/>
    </w:rPr>
  </w:style>
  <w:style w:type="character" w:customStyle="1" w:styleId="apple-converted-space">
    <w:name w:val="apple-converted-space"/>
    <w:basedOn w:val="DefaultParagraphFont"/>
    <w:uiPriority w:val="99"/>
    <w:rsid w:val="00CB190C"/>
    <w:rPr>
      <w:rFonts w:cs="Times New Roman"/>
    </w:rPr>
  </w:style>
  <w:style w:type="character" w:styleId="Hyperlink">
    <w:name w:val="Hyperlink"/>
    <w:basedOn w:val="DefaultParagraphFont"/>
    <w:uiPriority w:val="99"/>
    <w:rsid w:val="00CB190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4364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iologies.revues.org/45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173</TotalTime>
  <Pages>3</Pages>
  <Words>957</Words>
  <Characters>5503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ENQUETER AUPRES DE PERSONNES «VULNERABLES» - QUELLES IMPLICATIONS </dc:title>
  <dc:subject/>
  <dc:creator>Katell Bellegarde</dc:creator>
  <cp:keywords/>
  <dc:description/>
  <cp:lastModifiedBy>trigone</cp:lastModifiedBy>
  <cp:revision>8</cp:revision>
  <dcterms:created xsi:type="dcterms:W3CDTF">2016-01-29T13:25:00Z</dcterms:created>
  <dcterms:modified xsi:type="dcterms:W3CDTF">2016-01-29T16:29:00Z</dcterms:modified>
</cp:coreProperties>
</file>