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85" w:rsidRPr="00717FCB" w:rsidRDefault="00854D85" w:rsidP="00854D85">
      <w:pPr>
        <w:spacing w:after="0"/>
        <w:rPr>
          <w:rFonts w:ascii="Times New Roman" w:hAnsi="Times New Roman" w:cs="Times"/>
          <w:b/>
          <w:szCs w:val="30"/>
          <w:lang w:val="fr-FR"/>
        </w:rPr>
      </w:pPr>
      <w:r w:rsidRPr="00717FCB">
        <w:rPr>
          <w:rFonts w:ascii="Times New Roman" w:hAnsi="Times New Roman" w:cs="Times"/>
          <w:b/>
          <w:szCs w:val="30"/>
          <w:lang w:val="fr-FR"/>
        </w:rPr>
        <w:t>AREF Symposium: Qu'e</w:t>
      </w:r>
      <w:r>
        <w:rPr>
          <w:rFonts w:ascii="Times New Roman" w:hAnsi="Times New Roman" w:cs="Times"/>
          <w:b/>
          <w:szCs w:val="30"/>
          <w:lang w:val="fr-FR"/>
        </w:rPr>
        <w:t>st-ce qui influence la qualité</w:t>
      </w:r>
      <w:r w:rsidRPr="00717FCB">
        <w:rPr>
          <w:rFonts w:ascii="Times New Roman" w:hAnsi="Times New Roman" w:cs="Times"/>
          <w:b/>
          <w:szCs w:val="30"/>
          <w:lang w:val="fr-FR"/>
        </w:rPr>
        <w:t xml:space="preserve"> de l'apprentissage dans l'enseignement supérieur ?</w:t>
      </w:r>
    </w:p>
    <w:p w:rsidR="00854D85" w:rsidRPr="00717FCB" w:rsidRDefault="00854D85" w:rsidP="00854D85">
      <w:pPr>
        <w:spacing w:after="0"/>
        <w:rPr>
          <w:rFonts w:ascii="Times New Roman" w:hAnsi="Times New Roman" w:cs="Times"/>
          <w:szCs w:val="30"/>
          <w:lang w:val="fr-FR"/>
        </w:rPr>
      </w:pPr>
    </w:p>
    <w:p w:rsidR="00854D85" w:rsidRPr="00854D85" w:rsidRDefault="00854D85" w:rsidP="00854D85">
      <w:pPr>
        <w:spacing w:after="0"/>
        <w:rPr>
          <w:rFonts w:ascii="Times New Roman" w:hAnsi="Times New Roman" w:cs="Times"/>
          <w:szCs w:val="30"/>
          <w:lang w:val="fr-FR"/>
        </w:rPr>
      </w:pPr>
      <w:r w:rsidRPr="00854D85">
        <w:rPr>
          <w:rFonts w:ascii="Times New Roman" w:hAnsi="Times New Roman" w:cs="Times"/>
          <w:szCs w:val="30"/>
          <w:lang w:val="fr-FR"/>
        </w:rPr>
        <w:t xml:space="preserve">Laurent </w:t>
      </w:r>
      <w:proofErr w:type="spellStart"/>
      <w:r w:rsidRPr="00854D85">
        <w:rPr>
          <w:rFonts w:ascii="Times New Roman" w:hAnsi="Times New Roman" w:cs="Times"/>
          <w:szCs w:val="30"/>
          <w:lang w:val="fr-FR"/>
        </w:rPr>
        <w:t>Cosnefroy</w:t>
      </w:r>
      <w:proofErr w:type="spellEnd"/>
    </w:p>
    <w:p w:rsidR="00854D85" w:rsidRPr="00854D85" w:rsidRDefault="00854D85" w:rsidP="00854D85">
      <w:pPr>
        <w:spacing w:after="0"/>
        <w:rPr>
          <w:rFonts w:ascii="Times New Roman" w:hAnsi="Times New Roman" w:cs="Times"/>
          <w:szCs w:val="30"/>
          <w:lang w:val="fr-FR"/>
        </w:rPr>
      </w:pPr>
      <w:r w:rsidRPr="00854D85">
        <w:rPr>
          <w:rFonts w:ascii="Times New Roman" w:hAnsi="Times New Roman" w:cs="Times"/>
          <w:szCs w:val="30"/>
          <w:lang w:val="fr-FR"/>
        </w:rPr>
        <w:t>Professeur en sciences de l’éducation</w:t>
      </w:r>
    </w:p>
    <w:p w:rsidR="00854D85" w:rsidRDefault="00854D85" w:rsidP="00854D85">
      <w:pPr>
        <w:spacing w:after="0"/>
        <w:rPr>
          <w:rFonts w:ascii="Times New Roman" w:hAnsi="Times New Roman" w:cs="Times"/>
          <w:szCs w:val="30"/>
          <w:lang w:val="fr-FR"/>
        </w:rPr>
      </w:pPr>
      <w:r w:rsidRPr="00854D85">
        <w:rPr>
          <w:rFonts w:ascii="Times New Roman" w:hAnsi="Times New Roman" w:cs="Times"/>
          <w:szCs w:val="30"/>
          <w:lang w:val="fr-FR"/>
        </w:rPr>
        <w:t>Ecol</w:t>
      </w:r>
      <w:r>
        <w:rPr>
          <w:rFonts w:ascii="Times New Roman" w:hAnsi="Times New Roman" w:cs="Times"/>
          <w:szCs w:val="30"/>
          <w:lang w:val="fr-FR"/>
        </w:rPr>
        <w:t>e normale supérieure de Lyon</w:t>
      </w:r>
    </w:p>
    <w:p w:rsidR="00854D85" w:rsidRPr="00854D85" w:rsidRDefault="00854D85" w:rsidP="00854D85">
      <w:pPr>
        <w:spacing w:after="0"/>
        <w:rPr>
          <w:rFonts w:ascii="Times New Roman" w:hAnsi="Times New Roman" w:cs="Times"/>
          <w:szCs w:val="30"/>
          <w:lang w:val="fr-FR"/>
        </w:rPr>
      </w:pPr>
      <w:r>
        <w:rPr>
          <w:rFonts w:ascii="Times New Roman" w:hAnsi="Times New Roman" w:cs="Times"/>
          <w:szCs w:val="30"/>
          <w:lang w:val="fr-FR"/>
        </w:rPr>
        <w:t>Institut français de l’éducation</w:t>
      </w:r>
    </w:p>
    <w:p w:rsidR="00854D85" w:rsidRPr="00FA0972" w:rsidRDefault="00C759D6" w:rsidP="00854D85">
      <w:pPr>
        <w:spacing w:after="0"/>
        <w:rPr>
          <w:rFonts w:ascii="Times New Roman" w:hAnsi="Times New Roman" w:cs="Times"/>
          <w:szCs w:val="30"/>
          <w:lang w:val="fr-FR"/>
        </w:rPr>
      </w:pPr>
      <w:hyperlink r:id="rId6" w:history="1">
        <w:r w:rsidR="00854D85" w:rsidRPr="00FA0972">
          <w:rPr>
            <w:rStyle w:val="Lienhypertexte"/>
            <w:rFonts w:ascii="Times New Roman" w:hAnsi="Times New Roman" w:cs="Times"/>
            <w:szCs w:val="30"/>
            <w:lang w:val="fr-FR"/>
          </w:rPr>
          <w:t>laurent.cosnefroy@ens-lyon.fr</w:t>
        </w:r>
      </w:hyperlink>
    </w:p>
    <w:p w:rsidR="00854D85" w:rsidRPr="00717FCB" w:rsidRDefault="00854D85" w:rsidP="00854D85">
      <w:pPr>
        <w:spacing w:after="0"/>
        <w:rPr>
          <w:rFonts w:ascii="Times New Roman" w:hAnsi="Times New Roman" w:cs="Times"/>
          <w:szCs w:val="30"/>
          <w:lang w:val="fr-FR"/>
        </w:rPr>
      </w:pPr>
    </w:p>
    <w:p w:rsidR="00854D85" w:rsidRDefault="00854D85" w:rsidP="00854D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Verdana"/>
          <w:b/>
          <w:szCs w:val="26"/>
          <w:lang w:val="fr-FR"/>
        </w:rPr>
      </w:pPr>
      <w:r w:rsidRPr="00717FCB">
        <w:rPr>
          <w:rFonts w:ascii="Times New Roman" w:hAnsi="Times New Roman" w:cs="Verdana"/>
          <w:b/>
          <w:szCs w:val="26"/>
          <w:lang w:val="fr-FR"/>
        </w:rPr>
        <w:t>Titre de la communication</w:t>
      </w:r>
    </w:p>
    <w:p w:rsidR="00143BA8" w:rsidRDefault="00D15008" w:rsidP="00854D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  <w:r>
        <w:rPr>
          <w:rFonts w:ascii="Times New Roman" w:hAnsi="Times New Roman" w:cs="Arial"/>
          <w:szCs w:val="26"/>
          <w:lang w:val="fr-FR"/>
        </w:rPr>
        <w:t>Travail de groupe et qualité des apprentissages</w:t>
      </w:r>
    </w:p>
    <w:p w:rsidR="00D15008" w:rsidRPr="00D15008" w:rsidRDefault="00D15008" w:rsidP="00854D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</w:p>
    <w:p w:rsidR="00514724" w:rsidRDefault="00854D85" w:rsidP="00854D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Verdana"/>
          <w:szCs w:val="26"/>
          <w:lang w:val="fr-FR"/>
        </w:rPr>
      </w:pPr>
      <w:r w:rsidRPr="00717FCB">
        <w:rPr>
          <w:rFonts w:ascii="Times New Roman" w:hAnsi="Times New Roman" w:cs="Verdana"/>
          <w:b/>
          <w:szCs w:val="26"/>
          <w:lang w:val="fr-FR"/>
        </w:rPr>
        <w:t>Résumé de la communication</w:t>
      </w:r>
      <w:r w:rsidRPr="00717FCB">
        <w:rPr>
          <w:rFonts w:ascii="Times New Roman" w:hAnsi="Times New Roman" w:cs="Verdana"/>
          <w:szCs w:val="26"/>
          <w:lang w:val="fr-FR"/>
        </w:rPr>
        <w:t xml:space="preserve"> </w:t>
      </w:r>
    </w:p>
    <w:p w:rsidR="00514724" w:rsidRDefault="00534B30" w:rsidP="00854D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lang w:val="fr-FR"/>
        </w:rPr>
      </w:pPr>
      <w:r w:rsidRPr="00514724">
        <w:rPr>
          <w:rFonts w:ascii="Times New Roman" w:hAnsi="Times New Roman" w:cs="Times New Roman"/>
          <w:lang w:val="fr-FR"/>
        </w:rPr>
        <w:t xml:space="preserve"> Le travail en équipe est devenu primordial</w:t>
      </w:r>
      <w:r w:rsidR="009B26A9">
        <w:rPr>
          <w:rFonts w:ascii="Times New Roman" w:hAnsi="Times New Roman" w:cs="Times New Roman"/>
          <w:lang w:val="fr-FR"/>
        </w:rPr>
        <w:t xml:space="preserve"> dans de nombreuses professions de sorte</w:t>
      </w:r>
      <w:r w:rsidRPr="00514724">
        <w:rPr>
          <w:rFonts w:ascii="Times New Roman" w:hAnsi="Times New Roman" w:cs="Times New Roman"/>
          <w:lang w:val="fr-FR"/>
        </w:rPr>
        <w:t xml:space="preserve"> que les formations professionnelles dans l’enseignement supérieur, conçues autour d’une approche par compétences, accordent une importance toute particulière aux apprentissages </w:t>
      </w:r>
      <w:r w:rsidR="00FA0972">
        <w:rPr>
          <w:rFonts w:ascii="Times New Roman" w:hAnsi="Times New Roman" w:cs="Times New Roman"/>
          <w:lang w:val="fr-FR"/>
        </w:rPr>
        <w:t xml:space="preserve">réalisés </w:t>
      </w:r>
      <w:r w:rsidRPr="00514724">
        <w:rPr>
          <w:rFonts w:ascii="Times New Roman" w:hAnsi="Times New Roman" w:cs="Times New Roman"/>
          <w:lang w:val="fr-FR"/>
        </w:rPr>
        <w:t>en groupe (</w:t>
      </w:r>
      <w:proofErr w:type="spellStart"/>
      <w:r w:rsidRPr="00514724">
        <w:rPr>
          <w:rFonts w:ascii="Times New Roman" w:hAnsi="Times New Roman" w:cs="Times New Roman"/>
          <w:lang w:val="fr-FR"/>
        </w:rPr>
        <w:t>Akkerman</w:t>
      </w:r>
      <w:proofErr w:type="spellEnd"/>
      <w:r w:rsidRPr="00514724">
        <w:rPr>
          <w:rFonts w:ascii="Times New Roman" w:hAnsi="Times New Roman" w:cs="Times New Roman"/>
          <w:lang w:val="fr-FR"/>
        </w:rPr>
        <w:t xml:space="preserve"> &amp; </w:t>
      </w:r>
      <w:proofErr w:type="gramStart"/>
      <w:r w:rsidRPr="00514724">
        <w:rPr>
          <w:rFonts w:ascii="Times New Roman" w:hAnsi="Times New Roman" w:cs="Times New Roman"/>
          <w:lang w:val="fr-FR"/>
        </w:rPr>
        <w:t>al.,</w:t>
      </w:r>
      <w:proofErr w:type="gramEnd"/>
      <w:r w:rsidRPr="00514724">
        <w:rPr>
          <w:rFonts w:ascii="Times New Roman" w:hAnsi="Times New Roman" w:cs="Times New Roman"/>
          <w:lang w:val="fr-FR"/>
        </w:rPr>
        <w:t xml:space="preserve"> 2</w:t>
      </w:r>
      <w:r w:rsidR="00FA0972">
        <w:rPr>
          <w:rFonts w:ascii="Times New Roman" w:hAnsi="Times New Roman" w:cs="Times New Roman"/>
          <w:lang w:val="fr-FR"/>
        </w:rPr>
        <w:t xml:space="preserve">007 ; </w:t>
      </w:r>
      <w:proofErr w:type="spellStart"/>
      <w:r w:rsidR="00FA0972">
        <w:rPr>
          <w:rFonts w:ascii="Times New Roman" w:hAnsi="Times New Roman" w:cs="Times New Roman"/>
          <w:lang w:val="fr-FR"/>
        </w:rPr>
        <w:t>Verzat</w:t>
      </w:r>
      <w:proofErr w:type="spellEnd"/>
      <w:r w:rsidR="00FA0972">
        <w:rPr>
          <w:rFonts w:ascii="Times New Roman" w:hAnsi="Times New Roman" w:cs="Times New Roman"/>
          <w:lang w:val="fr-FR"/>
        </w:rPr>
        <w:t>, 2010). C</w:t>
      </w:r>
      <w:r w:rsidRPr="00514724">
        <w:rPr>
          <w:rFonts w:ascii="Times New Roman" w:hAnsi="Times New Roman" w:cs="Times New Roman"/>
          <w:lang w:val="fr-FR"/>
        </w:rPr>
        <w:t xml:space="preserve">es apprentissages sont susceptibles </w:t>
      </w:r>
      <w:r w:rsidR="00FA0972">
        <w:rPr>
          <w:rFonts w:ascii="Times New Roman" w:hAnsi="Times New Roman" w:cs="Times New Roman"/>
          <w:lang w:val="fr-FR"/>
        </w:rPr>
        <w:t xml:space="preserve">par ailleurs </w:t>
      </w:r>
      <w:r w:rsidRPr="00514724">
        <w:rPr>
          <w:rFonts w:ascii="Times New Roman" w:hAnsi="Times New Roman" w:cs="Times New Roman"/>
          <w:lang w:val="fr-FR"/>
        </w:rPr>
        <w:t>de r</w:t>
      </w:r>
      <w:r w:rsidR="009B26A9">
        <w:rPr>
          <w:rFonts w:ascii="Times New Roman" w:hAnsi="Times New Roman" w:cs="Times New Roman"/>
          <w:lang w:val="fr-FR"/>
        </w:rPr>
        <w:t>enforcer la motivation</w:t>
      </w:r>
      <w:r w:rsidRPr="00514724">
        <w:rPr>
          <w:rFonts w:ascii="Times New Roman" w:hAnsi="Times New Roman" w:cs="Times New Roman"/>
          <w:lang w:val="fr-FR"/>
        </w:rPr>
        <w:t xml:space="preserve"> parce qu’ils sont réalisés à partir de situations plus proches de la vie professionnelle et qu’ils permettent, grâce au contrôle exercé sur la situation d’apprentissage, de faire l’expérience de l’autonomie (</w:t>
      </w:r>
      <w:proofErr w:type="spellStart"/>
      <w:r w:rsidRPr="00514724">
        <w:rPr>
          <w:rFonts w:ascii="Times New Roman" w:hAnsi="Times New Roman" w:cs="Times New Roman"/>
          <w:lang w:val="fr-FR"/>
        </w:rPr>
        <w:t>Blumenfeld</w:t>
      </w:r>
      <w:proofErr w:type="spellEnd"/>
      <w:r w:rsidRPr="00514724">
        <w:rPr>
          <w:rFonts w:ascii="Times New Roman" w:hAnsi="Times New Roman" w:cs="Times New Roman"/>
          <w:lang w:val="fr-FR"/>
        </w:rPr>
        <w:t xml:space="preserve"> &amp; </w:t>
      </w:r>
      <w:proofErr w:type="gramStart"/>
      <w:r w:rsidRPr="00514724">
        <w:rPr>
          <w:rFonts w:ascii="Times New Roman" w:hAnsi="Times New Roman" w:cs="Times New Roman"/>
          <w:lang w:val="fr-FR"/>
        </w:rPr>
        <w:t>al.,</w:t>
      </w:r>
      <w:proofErr w:type="gramEnd"/>
      <w:r w:rsidRPr="00514724">
        <w:rPr>
          <w:rFonts w:ascii="Times New Roman" w:hAnsi="Times New Roman" w:cs="Times New Roman"/>
          <w:lang w:val="fr-FR"/>
        </w:rPr>
        <w:t xml:space="preserve"> 1991). Enfin, </w:t>
      </w:r>
      <w:r w:rsidR="00FA0972">
        <w:rPr>
          <w:rFonts w:ascii="Times New Roman" w:hAnsi="Times New Roman" w:cs="Times New Roman"/>
          <w:lang w:val="fr-FR"/>
        </w:rPr>
        <w:t>grâce aux dynamiques interactives engendrées</w:t>
      </w:r>
      <w:r w:rsidR="006F61F3">
        <w:rPr>
          <w:rFonts w:ascii="Times New Roman" w:hAnsi="Times New Roman" w:cs="Times New Roman"/>
          <w:lang w:val="fr-FR"/>
        </w:rPr>
        <w:t xml:space="preserve"> par la confrontation de positions divergentes</w:t>
      </w:r>
      <w:r w:rsidR="009B26A9">
        <w:rPr>
          <w:rFonts w:ascii="Times New Roman" w:hAnsi="Times New Roman" w:cs="Times New Roman"/>
          <w:lang w:val="fr-FR"/>
        </w:rPr>
        <w:t>, le travail en groupe est</w:t>
      </w:r>
      <w:r w:rsidR="006F61F3">
        <w:rPr>
          <w:rFonts w:ascii="Times New Roman" w:hAnsi="Times New Roman" w:cs="Times New Roman"/>
          <w:lang w:val="fr-FR"/>
        </w:rPr>
        <w:t xml:space="preserve"> un outil puissant pour améliorer les apprentissages (Buchs, </w:t>
      </w:r>
      <w:proofErr w:type="spellStart"/>
      <w:r w:rsidR="006F61F3">
        <w:rPr>
          <w:rFonts w:ascii="Times New Roman" w:hAnsi="Times New Roman" w:cs="Times New Roman"/>
          <w:lang w:val="fr-FR"/>
        </w:rPr>
        <w:t>Darnon</w:t>
      </w:r>
      <w:proofErr w:type="spellEnd"/>
      <w:r w:rsidR="006F61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6F61F3">
        <w:rPr>
          <w:rFonts w:ascii="Times New Roman" w:hAnsi="Times New Roman" w:cs="Times New Roman"/>
          <w:lang w:val="fr-FR"/>
        </w:rPr>
        <w:t>Quiamzade</w:t>
      </w:r>
      <w:proofErr w:type="spellEnd"/>
      <w:r w:rsidR="006F61F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6F61F3">
        <w:rPr>
          <w:rFonts w:ascii="Times New Roman" w:hAnsi="Times New Roman" w:cs="Times New Roman"/>
          <w:lang w:val="fr-FR"/>
        </w:rPr>
        <w:t>Mugny</w:t>
      </w:r>
      <w:proofErr w:type="spellEnd"/>
      <w:r w:rsidR="006F61F3">
        <w:rPr>
          <w:rFonts w:ascii="Times New Roman" w:hAnsi="Times New Roman" w:cs="Times New Roman"/>
          <w:lang w:val="fr-FR"/>
        </w:rPr>
        <w:t xml:space="preserve"> &amp; Butera, 2008).</w:t>
      </w:r>
    </w:p>
    <w:p w:rsidR="00FA149C" w:rsidRPr="00717FCB" w:rsidRDefault="00A93E9A" w:rsidP="00854D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Verdana"/>
          <w:szCs w:val="26"/>
          <w:lang w:val="fr-FR"/>
        </w:rPr>
      </w:pPr>
      <w:r>
        <w:rPr>
          <w:rFonts w:ascii="Times New Roman" w:hAnsi="Times New Roman" w:cs="Verdana"/>
          <w:szCs w:val="26"/>
          <w:lang w:val="fr-FR"/>
        </w:rPr>
        <w:t xml:space="preserve">Ces promesses du travail de groupe sont-elles toujours au rendez-vous ? Quelles sont les variables à prendre en compte pour maximiser les apports du travail de groupe ? Afin d’apporter des éléments de réponse à cette question, </w:t>
      </w:r>
      <w:r w:rsidR="00FA149C">
        <w:rPr>
          <w:rFonts w:ascii="Times New Roman" w:hAnsi="Times New Roman" w:cs="Verdana"/>
          <w:szCs w:val="26"/>
          <w:lang w:val="fr-FR"/>
        </w:rPr>
        <w:t xml:space="preserve">29 étudiants en première année d’une grande école de management ont été interrogés sur </w:t>
      </w:r>
      <w:r w:rsidR="00514724">
        <w:rPr>
          <w:rFonts w:ascii="Times New Roman" w:hAnsi="Times New Roman" w:cs="Verdana"/>
          <w:szCs w:val="26"/>
          <w:lang w:val="fr-FR"/>
        </w:rPr>
        <w:t xml:space="preserve">leur expérience du travail de groupe. </w:t>
      </w:r>
      <w:r w:rsidR="009B26A9">
        <w:rPr>
          <w:rFonts w:ascii="Times New Roman" w:hAnsi="Times New Roman" w:cs="Verdana"/>
          <w:szCs w:val="26"/>
          <w:lang w:val="fr-FR"/>
        </w:rPr>
        <w:t>Tous les enseignements et les évaluations s’appuient sur des travaux de groupe</w:t>
      </w:r>
      <w:r w:rsidR="00D15008">
        <w:rPr>
          <w:rFonts w:ascii="Times New Roman" w:hAnsi="Times New Roman" w:cs="Verdana"/>
          <w:szCs w:val="26"/>
          <w:lang w:val="fr-FR"/>
        </w:rPr>
        <w:t xml:space="preserve">, une pédagogie </w:t>
      </w:r>
      <w:r w:rsidR="00514724">
        <w:rPr>
          <w:rFonts w:ascii="Times New Roman" w:hAnsi="Times New Roman" w:cs="Verdana"/>
          <w:szCs w:val="26"/>
          <w:lang w:val="fr-FR"/>
        </w:rPr>
        <w:t xml:space="preserve"> en rupture p</w:t>
      </w:r>
      <w:r w:rsidR="00D15008">
        <w:rPr>
          <w:rFonts w:ascii="Times New Roman" w:hAnsi="Times New Roman" w:cs="Verdana"/>
          <w:szCs w:val="26"/>
          <w:lang w:val="fr-FR"/>
        </w:rPr>
        <w:t>ar rapport à ce que les étudiants</w:t>
      </w:r>
      <w:r w:rsidR="00514724">
        <w:rPr>
          <w:rFonts w:ascii="Times New Roman" w:hAnsi="Times New Roman" w:cs="Verdana"/>
          <w:szCs w:val="26"/>
          <w:lang w:val="fr-FR"/>
        </w:rPr>
        <w:t xml:space="preserve"> ont connu da</w:t>
      </w:r>
      <w:r w:rsidR="009B26A9">
        <w:rPr>
          <w:rFonts w:ascii="Times New Roman" w:hAnsi="Times New Roman" w:cs="Verdana"/>
          <w:szCs w:val="26"/>
          <w:lang w:val="fr-FR"/>
        </w:rPr>
        <w:t>ns l</w:t>
      </w:r>
      <w:r w:rsidR="00D15008">
        <w:rPr>
          <w:rFonts w:ascii="Times New Roman" w:hAnsi="Times New Roman" w:cs="Verdana"/>
          <w:szCs w:val="26"/>
          <w:lang w:val="fr-FR"/>
        </w:rPr>
        <w:t>eur ancien milieu d’études.</w:t>
      </w:r>
    </w:p>
    <w:p w:rsidR="00A93E9A" w:rsidRDefault="00BE3E4B" w:rsidP="00143BA8">
      <w:pPr>
        <w:jc w:val="both"/>
        <w:rPr>
          <w:rFonts w:ascii="Times New Roman" w:hAnsi="Times New Roman" w:cs="Times New Roman"/>
          <w:lang w:val="fr-FR"/>
        </w:rPr>
      </w:pPr>
      <w:r w:rsidRPr="00143BA8">
        <w:rPr>
          <w:rFonts w:ascii="Times New Roman" w:hAnsi="Times New Roman" w:cs="Times New Roman"/>
          <w:lang w:val="fr-FR"/>
        </w:rPr>
        <w:t>Tous les étudiant</w:t>
      </w:r>
      <w:r w:rsidR="00D15008">
        <w:rPr>
          <w:rFonts w:ascii="Times New Roman" w:hAnsi="Times New Roman" w:cs="Times New Roman"/>
          <w:lang w:val="fr-FR"/>
        </w:rPr>
        <w:t xml:space="preserve">s interrogés confirment </w:t>
      </w:r>
      <w:r w:rsidRPr="00143BA8">
        <w:rPr>
          <w:rFonts w:ascii="Times New Roman" w:hAnsi="Times New Roman" w:cs="Times New Roman"/>
          <w:lang w:val="fr-FR"/>
        </w:rPr>
        <w:t xml:space="preserve">l’intérêt du travail de groupe (préparation à la vie de l’entreprise, </w:t>
      </w:r>
      <w:r w:rsidR="00F3789E" w:rsidRPr="00143BA8">
        <w:rPr>
          <w:rFonts w:ascii="Times New Roman" w:hAnsi="Times New Roman" w:cs="Times New Roman"/>
          <w:lang w:val="fr-FR"/>
        </w:rPr>
        <w:t>créativité accrue par</w:t>
      </w:r>
      <w:r w:rsidRPr="00143BA8">
        <w:rPr>
          <w:rFonts w:ascii="Times New Roman" w:hAnsi="Times New Roman" w:cs="Times New Roman"/>
          <w:lang w:val="fr-FR"/>
        </w:rPr>
        <w:t xml:space="preserve"> rapport au travail individuel)</w:t>
      </w:r>
      <w:r w:rsidR="00F3789E" w:rsidRPr="00143BA8">
        <w:rPr>
          <w:rFonts w:ascii="Times New Roman" w:hAnsi="Times New Roman" w:cs="Times New Roman"/>
          <w:lang w:val="fr-FR"/>
        </w:rPr>
        <w:t xml:space="preserve">. </w:t>
      </w:r>
      <w:r w:rsidRPr="00143BA8">
        <w:rPr>
          <w:rFonts w:ascii="Times New Roman" w:hAnsi="Times New Roman" w:cs="Times New Roman"/>
          <w:lang w:val="fr-FR"/>
        </w:rPr>
        <w:t xml:space="preserve"> Des compétences individuelles pour travailler en groupe sont identifiées et ont commencé à se développer grâce à l’expérience répétée des travaux de groupe : se décentrer de son propre monde et apprendre à écouter</w:t>
      </w:r>
      <w:r w:rsidR="00F3789E" w:rsidRPr="00143BA8">
        <w:rPr>
          <w:rFonts w:ascii="Times New Roman" w:hAnsi="Times New Roman" w:cs="Times New Roman"/>
          <w:lang w:val="fr-FR"/>
        </w:rPr>
        <w:t xml:space="preserve"> afin de saisir des modes de fo</w:t>
      </w:r>
      <w:r w:rsidRPr="00143BA8">
        <w:rPr>
          <w:rFonts w:ascii="Times New Roman" w:hAnsi="Times New Roman" w:cs="Times New Roman"/>
          <w:lang w:val="fr-FR"/>
        </w:rPr>
        <w:t>nctionnement différents du sien ; formuler des critiques sans juger</w:t>
      </w:r>
      <w:r w:rsidR="00143BA8" w:rsidRPr="00143BA8">
        <w:rPr>
          <w:rFonts w:ascii="Times New Roman" w:hAnsi="Times New Roman" w:cs="Times New Roman"/>
          <w:lang w:val="fr-FR"/>
        </w:rPr>
        <w:t xml:space="preserve"> ; </w:t>
      </w:r>
      <w:proofErr w:type="spellStart"/>
      <w:r w:rsidR="00143BA8" w:rsidRPr="00143BA8">
        <w:rPr>
          <w:rFonts w:ascii="Times New Roman" w:hAnsi="Times New Roman" w:cs="Times New Roman"/>
          <w:lang w:val="fr-FR"/>
        </w:rPr>
        <w:t>métacommuniquer</w:t>
      </w:r>
      <w:proofErr w:type="spellEnd"/>
      <w:r w:rsidR="00143BA8" w:rsidRPr="00143BA8">
        <w:rPr>
          <w:rFonts w:ascii="Times New Roman" w:hAnsi="Times New Roman" w:cs="Times New Roman"/>
          <w:lang w:val="fr-FR"/>
        </w:rPr>
        <w:t xml:space="preserve"> en étant capable de verbaliser les problèmes rencontrés. </w:t>
      </w:r>
      <w:r w:rsidR="00143BA8">
        <w:rPr>
          <w:rFonts w:ascii="Times New Roman" w:hAnsi="Times New Roman" w:cs="Times New Roman"/>
          <w:lang w:val="fr-FR"/>
        </w:rPr>
        <w:t>Du point de vue des fonctionnements collectifs, l</w:t>
      </w:r>
      <w:r w:rsidRPr="00143BA8">
        <w:rPr>
          <w:rFonts w:ascii="Times New Roman" w:hAnsi="Times New Roman" w:cs="Times New Roman"/>
          <w:lang w:val="fr-FR"/>
        </w:rPr>
        <w:t>e mode de tra</w:t>
      </w:r>
      <w:r w:rsidR="009B26A9">
        <w:rPr>
          <w:rFonts w:ascii="Times New Roman" w:hAnsi="Times New Roman" w:cs="Times New Roman"/>
          <w:lang w:val="fr-FR"/>
        </w:rPr>
        <w:t>vail dominant est</w:t>
      </w:r>
      <w:r w:rsidRPr="00143BA8">
        <w:rPr>
          <w:rFonts w:ascii="Times New Roman" w:hAnsi="Times New Roman" w:cs="Times New Roman"/>
          <w:lang w:val="fr-FR"/>
        </w:rPr>
        <w:t xml:space="preserve"> </w:t>
      </w:r>
      <w:r w:rsidR="00F3789E" w:rsidRPr="00143BA8">
        <w:rPr>
          <w:rFonts w:ascii="Times New Roman" w:hAnsi="Times New Roman" w:cs="Times New Roman"/>
          <w:lang w:val="fr-FR"/>
        </w:rPr>
        <w:t xml:space="preserve"> le partage des tâches. Les prises de décisions ou les synthèses collectives sont rares. </w:t>
      </w:r>
      <w:r w:rsidR="00143BA8">
        <w:rPr>
          <w:rFonts w:ascii="Times New Roman" w:hAnsi="Times New Roman" w:cs="Times New Roman"/>
          <w:lang w:val="fr-FR"/>
        </w:rPr>
        <w:t xml:space="preserve">Il n’y a donc pas véritablement de travail collectif. </w:t>
      </w:r>
      <w:r w:rsidR="00143BA8" w:rsidRPr="00143BA8">
        <w:rPr>
          <w:rFonts w:ascii="Times New Roman" w:hAnsi="Times New Roman" w:cs="Times New Roman"/>
          <w:lang w:val="fr-FR"/>
        </w:rPr>
        <w:t>Ceci est lié à la nature des tâches proposée</w:t>
      </w:r>
      <w:r w:rsidR="00A93E9A">
        <w:rPr>
          <w:rFonts w:ascii="Times New Roman" w:hAnsi="Times New Roman" w:cs="Times New Roman"/>
          <w:lang w:val="fr-FR"/>
        </w:rPr>
        <w:t>s</w:t>
      </w:r>
      <w:r w:rsidR="009B26A9">
        <w:rPr>
          <w:rFonts w:ascii="Times New Roman" w:hAnsi="Times New Roman" w:cs="Times New Roman"/>
          <w:lang w:val="fr-FR"/>
        </w:rPr>
        <w:t>. Les groupes ne sont pas</w:t>
      </w:r>
      <w:r w:rsidR="00143BA8">
        <w:rPr>
          <w:rFonts w:ascii="Times New Roman" w:hAnsi="Times New Roman" w:cs="Times New Roman"/>
          <w:lang w:val="fr-FR"/>
        </w:rPr>
        <w:t xml:space="preserve"> organisés sur le long terme pour affronter des tâches </w:t>
      </w:r>
      <w:r w:rsidR="009B26A9">
        <w:rPr>
          <w:rFonts w:ascii="Times New Roman" w:hAnsi="Times New Roman" w:cs="Times New Roman"/>
          <w:lang w:val="fr-FR"/>
        </w:rPr>
        <w:t xml:space="preserve">suffisamment </w:t>
      </w:r>
      <w:r w:rsidR="00143BA8">
        <w:rPr>
          <w:rFonts w:ascii="Times New Roman" w:hAnsi="Times New Roman" w:cs="Times New Roman"/>
          <w:lang w:val="fr-FR"/>
        </w:rPr>
        <w:t>complexes</w:t>
      </w:r>
      <w:r w:rsidR="00FA149C">
        <w:rPr>
          <w:rFonts w:ascii="Times New Roman" w:hAnsi="Times New Roman" w:cs="Times New Roman"/>
          <w:lang w:val="fr-FR"/>
        </w:rPr>
        <w:t xml:space="preserve">, ouvertes </w:t>
      </w:r>
      <w:r w:rsidR="00A93E9A">
        <w:rPr>
          <w:rFonts w:ascii="Times New Roman" w:hAnsi="Times New Roman" w:cs="Times New Roman"/>
          <w:lang w:val="fr-FR"/>
        </w:rPr>
        <w:t>et</w:t>
      </w:r>
      <w:r w:rsidR="00143BA8">
        <w:rPr>
          <w:rFonts w:ascii="Times New Roman" w:hAnsi="Times New Roman" w:cs="Times New Roman"/>
          <w:lang w:val="fr-FR"/>
        </w:rPr>
        <w:t xml:space="preserve"> qui ne peuvent être faites</w:t>
      </w:r>
      <w:r w:rsidR="00072304">
        <w:rPr>
          <w:rFonts w:ascii="Times New Roman" w:hAnsi="Times New Roman" w:cs="Times New Roman"/>
          <w:lang w:val="fr-FR"/>
        </w:rPr>
        <w:t xml:space="preserve"> individuellement.</w:t>
      </w:r>
    </w:p>
    <w:p w:rsidR="0009509A" w:rsidRDefault="00072304" w:rsidP="00143BA8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bilan concernant</w:t>
      </w:r>
      <w:r w:rsidR="00A93E9A">
        <w:rPr>
          <w:rFonts w:ascii="Times New Roman" w:hAnsi="Times New Roman" w:cs="Times New Roman"/>
          <w:lang w:val="fr-FR"/>
        </w:rPr>
        <w:t xml:space="preserve"> la q</w:t>
      </w:r>
      <w:r w:rsidR="009B26A9">
        <w:rPr>
          <w:rFonts w:ascii="Times New Roman" w:hAnsi="Times New Roman" w:cs="Times New Roman"/>
          <w:lang w:val="fr-FR"/>
        </w:rPr>
        <w:t>ualité des apprentissages s’apprécie</w:t>
      </w:r>
      <w:r w:rsidR="00A93E9A">
        <w:rPr>
          <w:rFonts w:ascii="Times New Roman" w:hAnsi="Times New Roman" w:cs="Times New Roman"/>
          <w:lang w:val="fr-FR"/>
        </w:rPr>
        <w:t xml:space="preserve"> différemment selon que l’on utilise l’une ou l’autre des définitions de la qualité rappelée</w:t>
      </w:r>
      <w:r>
        <w:rPr>
          <w:rFonts w:ascii="Times New Roman" w:hAnsi="Times New Roman" w:cs="Times New Roman"/>
          <w:lang w:val="fr-FR"/>
        </w:rPr>
        <w:t xml:space="preserve"> par </w:t>
      </w:r>
      <w:proofErr w:type="spellStart"/>
      <w:r>
        <w:rPr>
          <w:rFonts w:ascii="Times New Roman" w:hAnsi="Times New Roman" w:cs="Times New Roman"/>
          <w:lang w:val="fr-FR"/>
        </w:rPr>
        <w:t>Biggs</w:t>
      </w:r>
      <w:proofErr w:type="spellEnd"/>
      <w:r>
        <w:rPr>
          <w:rFonts w:ascii="Times New Roman" w:hAnsi="Times New Roman" w:cs="Times New Roman"/>
          <w:lang w:val="fr-FR"/>
        </w:rPr>
        <w:t xml:space="preserve"> (2001). Si qualité signifie adaptation au but recherché, la qualité des apprentissages n’est pas optimale puisque le développement de modes de fonctionnements collabora</w:t>
      </w:r>
      <w:r w:rsidR="009B26A9">
        <w:rPr>
          <w:rFonts w:ascii="Times New Roman" w:hAnsi="Times New Roman" w:cs="Times New Roman"/>
          <w:lang w:val="fr-FR"/>
        </w:rPr>
        <w:t>tifs reste modeste.</w:t>
      </w:r>
      <w:r>
        <w:rPr>
          <w:rFonts w:ascii="Times New Roman" w:hAnsi="Times New Roman" w:cs="Times New Roman"/>
          <w:lang w:val="fr-FR"/>
        </w:rPr>
        <w:t xml:space="preserve"> Si qualité signifie transformer les conceptions des étudiants, le jugement est différent puisque certains étudiants ont commencé à identifier et à travailler sur des compétences </w:t>
      </w:r>
      <w:r w:rsidR="009B26A9">
        <w:rPr>
          <w:rFonts w:ascii="Times New Roman" w:hAnsi="Times New Roman" w:cs="Times New Roman"/>
          <w:lang w:val="fr-FR"/>
        </w:rPr>
        <w:t>importantes pour travailler en groupe.</w:t>
      </w:r>
    </w:p>
    <w:p w:rsidR="00FA0972" w:rsidRDefault="00FA0972" w:rsidP="00143BA8">
      <w:pPr>
        <w:jc w:val="both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C759D6" w:rsidRDefault="00C759D6" w:rsidP="00143BA8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Traitement de la question transversale : il sera centré sur la négociation du contrat de recherche entre les intérêts de recherche de l’équipe de chercheurs et les demandes d’amélioration pédagogique de l’établissement.</w:t>
      </w:r>
    </w:p>
    <w:p w:rsidR="00FA0972" w:rsidRPr="00C759D6" w:rsidRDefault="00FA0972" w:rsidP="00143BA8">
      <w:pPr>
        <w:jc w:val="both"/>
        <w:rPr>
          <w:rFonts w:ascii="Times New Roman" w:hAnsi="Times New Roman" w:cs="Times New Roman"/>
          <w:b/>
        </w:rPr>
      </w:pPr>
      <w:proofErr w:type="spellStart"/>
      <w:r w:rsidRPr="00C759D6">
        <w:rPr>
          <w:rFonts w:ascii="Times New Roman" w:hAnsi="Times New Roman" w:cs="Times New Roman"/>
          <w:b/>
        </w:rPr>
        <w:t>Références</w:t>
      </w:r>
      <w:proofErr w:type="spellEnd"/>
    </w:p>
    <w:p w:rsidR="00D15008" w:rsidRDefault="00D15008" w:rsidP="00D15008">
      <w:pPr>
        <w:spacing w:before="120" w:after="120" w:line="276" w:lineRule="auto"/>
        <w:rPr>
          <w:rFonts w:ascii="Times New Roman" w:hAnsi="Times New Roman" w:cs="Times New Roman"/>
        </w:rPr>
      </w:pPr>
      <w:proofErr w:type="spellStart"/>
      <w:r w:rsidRPr="00D15008">
        <w:rPr>
          <w:rFonts w:ascii="Times New Roman" w:hAnsi="Times New Roman" w:cs="Times New Roman"/>
        </w:rPr>
        <w:t>Akkerman</w:t>
      </w:r>
      <w:proofErr w:type="spellEnd"/>
      <w:r w:rsidRPr="00D15008">
        <w:rPr>
          <w:rFonts w:ascii="Times New Roman" w:hAnsi="Times New Roman" w:cs="Times New Roman"/>
        </w:rPr>
        <w:t xml:space="preserve">, S., Van den </w:t>
      </w:r>
      <w:proofErr w:type="spellStart"/>
      <w:r w:rsidRPr="00D15008">
        <w:rPr>
          <w:rFonts w:ascii="Times New Roman" w:hAnsi="Times New Roman" w:cs="Times New Roman"/>
        </w:rPr>
        <w:t>Bossche</w:t>
      </w:r>
      <w:proofErr w:type="spellEnd"/>
      <w:r w:rsidRPr="00D15008">
        <w:rPr>
          <w:rFonts w:ascii="Times New Roman" w:hAnsi="Times New Roman" w:cs="Times New Roman"/>
        </w:rPr>
        <w:t xml:space="preserve">, P., </w:t>
      </w:r>
      <w:proofErr w:type="spellStart"/>
      <w:r w:rsidRPr="00D15008">
        <w:rPr>
          <w:rFonts w:ascii="Times New Roman" w:hAnsi="Times New Roman" w:cs="Times New Roman"/>
        </w:rPr>
        <w:t>Admiraal</w:t>
      </w:r>
      <w:proofErr w:type="spellEnd"/>
      <w:r w:rsidRPr="00D15008">
        <w:rPr>
          <w:rFonts w:ascii="Times New Roman" w:hAnsi="Times New Roman" w:cs="Times New Roman"/>
        </w:rPr>
        <w:t xml:space="preserve">, W., </w:t>
      </w:r>
      <w:proofErr w:type="spellStart"/>
      <w:r w:rsidRPr="00D15008">
        <w:rPr>
          <w:rFonts w:ascii="Times New Roman" w:hAnsi="Times New Roman" w:cs="Times New Roman"/>
        </w:rPr>
        <w:t>Gijselaers</w:t>
      </w:r>
      <w:proofErr w:type="spellEnd"/>
      <w:r w:rsidRPr="00D15008">
        <w:rPr>
          <w:rFonts w:ascii="Times New Roman" w:hAnsi="Times New Roman" w:cs="Times New Roman"/>
        </w:rPr>
        <w:t xml:space="preserve">, W., </w:t>
      </w:r>
      <w:proofErr w:type="spellStart"/>
      <w:r w:rsidRPr="00D15008">
        <w:rPr>
          <w:rFonts w:ascii="Times New Roman" w:hAnsi="Times New Roman" w:cs="Times New Roman"/>
        </w:rPr>
        <w:t>Segers</w:t>
      </w:r>
      <w:proofErr w:type="spellEnd"/>
      <w:r w:rsidRPr="00D15008">
        <w:rPr>
          <w:rFonts w:ascii="Times New Roman" w:hAnsi="Times New Roman" w:cs="Times New Roman"/>
        </w:rPr>
        <w:t xml:space="preserve">, M., Simons, R.J., &amp; </w:t>
      </w:r>
      <w:proofErr w:type="spellStart"/>
      <w:r w:rsidRPr="00D15008">
        <w:rPr>
          <w:rFonts w:ascii="Times New Roman" w:hAnsi="Times New Roman" w:cs="Times New Roman"/>
        </w:rPr>
        <w:t>Kirschner</w:t>
      </w:r>
      <w:proofErr w:type="spellEnd"/>
      <w:r w:rsidRPr="00D15008">
        <w:rPr>
          <w:rFonts w:ascii="Times New Roman" w:hAnsi="Times New Roman" w:cs="Times New Roman"/>
        </w:rPr>
        <w:t xml:space="preserve">, P. (2007). Reconsidering group cognition: from conceptual confusion to a boundary area between cognitive and socio-cultural perspectives? </w:t>
      </w:r>
      <w:r w:rsidRPr="00D15008">
        <w:rPr>
          <w:rFonts w:ascii="Times New Roman" w:hAnsi="Times New Roman" w:cs="Times New Roman"/>
          <w:i/>
        </w:rPr>
        <w:t>Educational Research Review, 2</w:t>
      </w:r>
      <w:r w:rsidRPr="00D15008">
        <w:rPr>
          <w:rFonts w:ascii="Times New Roman" w:hAnsi="Times New Roman" w:cs="Times New Roman"/>
        </w:rPr>
        <w:t>(1), 39-63.</w:t>
      </w:r>
    </w:p>
    <w:p w:rsidR="00FA0972" w:rsidRDefault="00FA0972" w:rsidP="00143B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Biggs, J. (200</w:t>
      </w:r>
      <w:r w:rsidRPr="00FA0972">
        <w:rPr>
          <w:rFonts w:ascii="Times New Roman" w:hAnsi="Times New Roman" w:cs="Times New Roman"/>
        </w:rPr>
        <w:t xml:space="preserve">1). The reflective </w:t>
      </w:r>
      <w:proofErr w:type="gramStart"/>
      <w:r w:rsidRPr="00FA0972">
        <w:rPr>
          <w:rFonts w:ascii="Times New Roman" w:hAnsi="Times New Roman" w:cs="Times New Roman"/>
        </w:rPr>
        <w:t>institution :</w:t>
      </w:r>
      <w:proofErr w:type="gramEnd"/>
      <w:r w:rsidRPr="00FA0972">
        <w:rPr>
          <w:rFonts w:ascii="Times New Roman" w:hAnsi="Times New Roman" w:cs="Times New Roman"/>
        </w:rPr>
        <w:t xml:space="preserve"> assuring and enhancing the</w:t>
      </w:r>
      <w:r>
        <w:rPr>
          <w:rFonts w:ascii="Times New Roman" w:hAnsi="Times New Roman" w:cs="Times New Roman"/>
        </w:rPr>
        <w:t xml:space="preserve"> quality of teaching and learning. Higher Education, 41, 221-238.</w:t>
      </w:r>
    </w:p>
    <w:p w:rsidR="00D15008" w:rsidRPr="00D15008" w:rsidRDefault="00D15008" w:rsidP="00D15008">
      <w:pPr>
        <w:spacing w:before="120" w:after="120" w:line="276" w:lineRule="auto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D15008">
        <w:rPr>
          <w:rFonts w:ascii="Times New Roman" w:hAnsi="Times New Roman" w:cs="Times New Roman"/>
        </w:rPr>
        <w:t>Blumenfeld</w:t>
      </w:r>
      <w:proofErr w:type="spellEnd"/>
      <w:r w:rsidRPr="00D15008">
        <w:rPr>
          <w:rFonts w:ascii="Times New Roman" w:hAnsi="Times New Roman" w:cs="Times New Roman"/>
        </w:rPr>
        <w:t xml:space="preserve">, P., </w:t>
      </w:r>
      <w:proofErr w:type="spellStart"/>
      <w:r w:rsidRPr="00D15008">
        <w:rPr>
          <w:rFonts w:ascii="Times New Roman" w:hAnsi="Times New Roman" w:cs="Times New Roman"/>
        </w:rPr>
        <w:t>Soloway</w:t>
      </w:r>
      <w:proofErr w:type="spellEnd"/>
      <w:r w:rsidRPr="00D15008">
        <w:rPr>
          <w:rFonts w:ascii="Times New Roman" w:hAnsi="Times New Roman" w:cs="Times New Roman"/>
        </w:rPr>
        <w:t xml:space="preserve">, E., Marx, R., </w:t>
      </w:r>
      <w:proofErr w:type="spellStart"/>
      <w:r w:rsidRPr="00D15008">
        <w:rPr>
          <w:rFonts w:ascii="Times New Roman" w:hAnsi="Times New Roman" w:cs="Times New Roman"/>
        </w:rPr>
        <w:t>Kracjik</w:t>
      </w:r>
      <w:proofErr w:type="spellEnd"/>
      <w:r w:rsidRPr="00D15008">
        <w:rPr>
          <w:rFonts w:ascii="Times New Roman" w:hAnsi="Times New Roman" w:cs="Times New Roman"/>
        </w:rPr>
        <w:t xml:space="preserve">, J., </w:t>
      </w:r>
      <w:proofErr w:type="spellStart"/>
      <w:r w:rsidRPr="00D15008">
        <w:rPr>
          <w:rFonts w:ascii="Times New Roman" w:hAnsi="Times New Roman" w:cs="Times New Roman"/>
        </w:rPr>
        <w:t>Guzdial</w:t>
      </w:r>
      <w:proofErr w:type="spellEnd"/>
      <w:r w:rsidRPr="00D15008">
        <w:rPr>
          <w:rFonts w:ascii="Times New Roman" w:hAnsi="Times New Roman" w:cs="Times New Roman"/>
        </w:rPr>
        <w:t xml:space="preserve">, M., &amp; </w:t>
      </w:r>
      <w:proofErr w:type="spellStart"/>
      <w:r w:rsidRPr="00D15008">
        <w:rPr>
          <w:rFonts w:ascii="Times New Roman" w:hAnsi="Times New Roman" w:cs="Times New Roman"/>
        </w:rPr>
        <w:t>Palincsar</w:t>
      </w:r>
      <w:proofErr w:type="spellEnd"/>
      <w:r w:rsidRPr="00D15008">
        <w:rPr>
          <w:rFonts w:ascii="Times New Roman" w:hAnsi="Times New Roman" w:cs="Times New Roman"/>
        </w:rPr>
        <w:t>, A. (1991).</w:t>
      </w:r>
      <w:proofErr w:type="gramEnd"/>
      <w:r w:rsidRPr="00D15008">
        <w:rPr>
          <w:rFonts w:ascii="Times New Roman" w:hAnsi="Times New Roman" w:cs="Times New Roman"/>
        </w:rPr>
        <w:t xml:space="preserve"> Motivating project-based learning: sustaining the doing, supporting the learning. </w:t>
      </w:r>
      <w:proofErr w:type="spellStart"/>
      <w:r w:rsidRPr="00D15008">
        <w:rPr>
          <w:rFonts w:ascii="Times New Roman" w:hAnsi="Times New Roman" w:cs="Times New Roman"/>
          <w:i/>
          <w:lang w:val="fr-FR"/>
        </w:rPr>
        <w:t>Educational</w:t>
      </w:r>
      <w:proofErr w:type="spellEnd"/>
      <w:r w:rsidRPr="00D1500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D15008">
        <w:rPr>
          <w:rFonts w:ascii="Times New Roman" w:hAnsi="Times New Roman" w:cs="Times New Roman"/>
          <w:i/>
          <w:lang w:val="fr-FR"/>
        </w:rPr>
        <w:t>Psychologist</w:t>
      </w:r>
      <w:proofErr w:type="spellEnd"/>
      <w:r w:rsidRPr="00D15008">
        <w:rPr>
          <w:rFonts w:ascii="Times New Roman" w:hAnsi="Times New Roman" w:cs="Times New Roman"/>
          <w:i/>
          <w:lang w:val="fr-FR"/>
        </w:rPr>
        <w:t>, 26</w:t>
      </w:r>
      <w:r w:rsidRPr="00D15008">
        <w:rPr>
          <w:rFonts w:ascii="Times New Roman" w:hAnsi="Times New Roman" w:cs="Times New Roman"/>
          <w:lang w:val="fr-FR"/>
        </w:rPr>
        <w:t>(3 &amp; 4), 369-398.</w:t>
      </w:r>
    </w:p>
    <w:p w:rsidR="00D15008" w:rsidRDefault="00D15008" w:rsidP="00D15008">
      <w:pPr>
        <w:spacing w:before="120" w:after="120" w:line="276" w:lineRule="auto"/>
        <w:rPr>
          <w:rFonts w:ascii="Times New Roman" w:hAnsi="Times New Roman" w:cs="Times New Roman"/>
          <w:lang w:val="fr-FR"/>
        </w:rPr>
      </w:pPr>
      <w:r w:rsidRPr="00D15008">
        <w:rPr>
          <w:rFonts w:ascii="Times New Roman" w:hAnsi="Times New Roman" w:cs="Times New Roman"/>
          <w:lang w:val="fr-FR"/>
        </w:rPr>
        <w:t xml:space="preserve">Buchs, C., </w:t>
      </w:r>
      <w:proofErr w:type="spellStart"/>
      <w:r w:rsidRPr="00D15008">
        <w:rPr>
          <w:rFonts w:ascii="Times New Roman" w:hAnsi="Times New Roman" w:cs="Times New Roman"/>
          <w:lang w:val="fr-FR"/>
        </w:rPr>
        <w:t>Darnon</w:t>
      </w:r>
      <w:proofErr w:type="spellEnd"/>
      <w:r w:rsidRPr="00D15008">
        <w:rPr>
          <w:rFonts w:ascii="Times New Roman" w:hAnsi="Times New Roman" w:cs="Times New Roman"/>
          <w:lang w:val="fr-FR"/>
        </w:rPr>
        <w:t xml:space="preserve">, C., </w:t>
      </w:r>
      <w:proofErr w:type="spellStart"/>
      <w:r w:rsidRPr="00D15008">
        <w:rPr>
          <w:rFonts w:ascii="Times New Roman" w:hAnsi="Times New Roman" w:cs="Times New Roman"/>
          <w:lang w:val="fr-FR"/>
        </w:rPr>
        <w:t>Quiamzade</w:t>
      </w:r>
      <w:proofErr w:type="spellEnd"/>
      <w:r w:rsidRPr="00D15008">
        <w:rPr>
          <w:rFonts w:ascii="Times New Roman" w:hAnsi="Times New Roman" w:cs="Times New Roman"/>
          <w:lang w:val="fr-FR"/>
        </w:rPr>
        <w:t xml:space="preserve">, A., </w:t>
      </w:r>
      <w:proofErr w:type="spellStart"/>
      <w:r w:rsidRPr="00D15008">
        <w:rPr>
          <w:rFonts w:ascii="Times New Roman" w:hAnsi="Times New Roman" w:cs="Times New Roman"/>
          <w:lang w:val="fr-FR"/>
        </w:rPr>
        <w:t>Mugny</w:t>
      </w:r>
      <w:proofErr w:type="spellEnd"/>
      <w:r w:rsidRPr="00D15008">
        <w:rPr>
          <w:rFonts w:ascii="Times New Roman" w:hAnsi="Times New Roman" w:cs="Times New Roman"/>
          <w:lang w:val="fr-FR"/>
        </w:rPr>
        <w:t xml:space="preserve">, G., &amp; Butera, F. (2008). Conflits et apprentissage. Régulation des conflits sociocognitifs et apprentissage. </w:t>
      </w:r>
      <w:r w:rsidRPr="00D15008">
        <w:rPr>
          <w:rFonts w:ascii="Times New Roman" w:hAnsi="Times New Roman" w:cs="Times New Roman"/>
          <w:i/>
          <w:lang w:val="fr-FR"/>
        </w:rPr>
        <w:t>Revue Française de Pédagogie, 163</w:t>
      </w:r>
      <w:r w:rsidRPr="00D15008">
        <w:rPr>
          <w:rFonts w:ascii="Times New Roman" w:hAnsi="Times New Roman" w:cs="Times New Roman"/>
          <w:lang w:val="fr-FR"/>
        </w:rPr>
        <w:t>, 105-125.</w:t>
      </w:r>
    </w:p>
    <w:p w:rsidR="00D15008" w:rsidRPr="00D15008" w:rsidRDefault="00D15008" w:rsidP="00D15008">
      <w:pPr>
        <w:spacing w:before="120" w:after="120" w:line="276" w:lineRule="auto"/>
        <w:rPr>
          <w:rFonts w:ascii="Times New Roman" w:hAnsi="Times New Roman" w:cs="Times New Roman"/>
        </w:rPr>
      </w:pPr>
      <w:proofErr w:type="spellStart"/>
      <w:r w:rsidRPr="00D15008">
        <w:rPr>
          <w:rFonts w:ascii="Times New Roman" w:hAnsi="Times New Roman" w:cs="Times New Roman"/>
          <w:lang w:val="fr-FR"/>
        </w:rPr>
        <w:t>Verzat</w:t>
      </w:r>
      <w:proofErr w:type="spellEnd"/>
      <w:r w:rsidRPr="00D15008">
        <w:rPr>
          <w:rFonts w:ascii="Times New Roman" w:hAnsi="Times New Roman" w:cs="Times New Roman"/>
          <w:lang w:val="fr-FR"/>
        </w:rPr>
        <w:t xml:space="preserve">, C. (2010). Pourquoi parler d’accompagnement des étudiants aujourd’hui ? Dans B. </w:t>
      </w:r>
      <w:proofErr w:type="spellStart"/>
      <w:r w:rsidRPr="00D15008">
        <w:rPr>
          <w:rFonts w:ascii="Times New Roman" w:hAnsi="Times New Roman" w:cs="Times New Roman"/>
          <w:lang w:val="fr-FR"/>
        </w:rPr>
        <w:t>Raucent</w:t>
      </w:r>
      <w:proofErr w:type="spellEnd"/>
      <w:r w:rsidRPr="00D15008">
        <w:rPr>
          <w:rFonts w:ascii="Times New Roman" w:hAnsi="Times New Roman" w:cs="Times New Roman"/>
          <w:lang w:val="fr-FR"/>
        </w:rPr>
        <w:t xml:space="preserve">, C. </w:t>
      </w:r>
      <w:proofErr w:type="spellStart"/>
      <w:r w:rsidRPr="00D15008">
        <w:rPr>
          <w:rFonts w:ascii="Times New Roman" w:hAnsi="Times New Roman" w:cs="Times New Roman"/>
          <w:lang w:val="fr-FR"/>
        </w:rPr>
        <w:t>Verzat</w:t>
      </w:r>
      <w:proofErr w:type="spellEnd"/>
      <w:r w:rsidRPr="00D15008">
        <w:rPr>
          <w:rFonts w:ascii="Times New Roman" w:hAnsi="Times New Roman" w:cs="Times New Roman"/>
          <w:lang w:val="fr-FR"/>
        </w:rPr>
        <w:t>, &amp; L. Villeneuve (</w:t>
      </w:r>
      <w:proofErr w:type="spellStart"/>
      <w:r w:rsidRPr="00D15008">
        <w:rPr>
          <w:rFonts w:ascii="Times New Roman" w:hAnsi="Times New Roman" w:cs="Times New Roman"/>
          <w:lang w:val="fr-FR"/>
        </w:rPr>
        <w:t>dir</w:t>
      </w:r>
      <w:proofErr w:type="spellEnd"/>
      <w:r w:rsidRPr="00D15008">
        <w:rPr>
          <w:rFonts w:ascii="Times New Roman" w:hAnsi="Times New Roman" w:cs="Times New Roman"/>
          <w:lang w:val="fr-FR"/>
        </w:rPr>
        <w:t xml:space="preserve">.), </w:t>
      </w:r>
      <w:r w:rsidRPr="00D15008">
        <w:rPr>
          <w:rFonts w:ascii="Times New Roman" w:hAnsi="Times New Roman" w:cs="Times New Roman"/>
          <w:i/>
          <w:lang w:val="fr-FR"/>
        </w:rPr>
        <w:t>Accompagner des étudiants. Quels rôles pour l’enseignant ? Quels dispositifs ? Quelles mises en œuvre</w:t>
      </w:r>
      <w:r w:rsidRPr="00D15008">
        <w:rPr>
          <w:rFonts w:ascii="Times New Roman" w:hAnsi="Times New Roman" w:cs="Times New Roman"/>
          <w:lang w:val="fr-FR"/>
        </w:rPr>
        <w:t xml:space="preserve"> ? </w:t>
      </w:r>
      <w:r w:rsidRPr="00D15008">
        <w:rPr>
          <w:rFonts w:ascii="Times New Roman" w:hAnsi="Times New Roman" w:cs="Times New Roman"/>
        </w:rPr>
        <w:t xml:space="preserve">(p. 27-50). </w:t>
      </w:r>
      <w:proofErr w:type="spellStart"/>
      <w:r w:rsidRPr="00D15008">
        <w:rPr>
          <w:rFonts w:ascii="Times New Roman" w:hAnsi="Times New Roman" w:cs="Times New Roman"/>
        </w:rPr>
        <w:t>Bruxelles</w:t>
      </w:r>
      <w:proofErr w:type="spellEnd"/>
      <w:r w:rsidRPr="00D15008">
        <w:rPr>
          <w:rFonts w:ascii="Times New Roman" w:hAnsi="Times New Roman" w:cs="Times New Roman"/>
        </w:rPr>
        <w:t xml:space="preserve">: De </w:t>
      </w:r>
      <w:proofErr w:type="spellStart"/>
      <w:r w:rsidRPr="00D15008">
        <w:rPr>
          <w:rFonts w:ascii="Times New Roman" w:hAnsi="Times New Roman" w:cs="Times New Roman"/>
        </w:rPr>
        <w:t>Boeck</w:t>
      </w:r>
      <w:proofErr w:type="spellEnd"/>
      <w:r w:rsidRPr="00D15008">
        <w:rPr>
          <w:rFonts w:ascii="Times New Roman" w:hAnsi="Times New Roman" w:cs="Times New Roman"/>
        </w:rPr>
        <w:t>.</w:t>
      </w:r>
    </w:p>
    <w:p w:rsidR="00D15008" w:rsidRPr="00D15008" w:rsidRDefault="00D15008" w:rsidP="00D15008">
      <w:pPr>
        <w:spacing w:before="120" w:after="120" w:line="276" w:lineRule="auto"/>
        <w:rPr>
          <w:rFonts w:ascii="Times New Roman" w:hAnsi="Times New Roman" w:cs="Times New Roman"/>
          <w:lang w:val="fr-FR"/>
        </w:rPr>
      </w:pPr>
    </w:p>
    <w:p w:rsidR="00D15008" w:rsidRPr="00D15008" w:rsidRDefault="00D15008" w:rsidP="00D15008">
      <w:pPr>
        <w:jc w:val="both"/>
        <w:rPr>
          <w:lang w:val="fr-FR"/>
        </w:rPr>
      </w:pPr>
    </w:p>
    <w:sectPr w:rsidR="00D15008" w:rsidRPr="00D1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30B5"/>
    <w:multiLevelType w:val="hybridMultilevel"/>
    <w:tmpl w:val="C3E6E9A6"/>
    <w:lvl w:ilvl="0" w:tplc="20A473A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85"/>
    <w:rsid w:val="00072304"/>
    <w:rsid w:val="00143BA8"/>
    <w:rsid w:val="001A6410"/>
    <w:rsid w:val="0023065C"/>
    <w:rsid w:val="003F120E"/>
    <w:rsid w:val="00514724"/>
    <w:rsid w:val="00534B30"/>
    <w:rsid w:val="006F61F3"/>
    <w:rsid w:val="00854D85"/>
    <w:rsid w:val="00963D60"/>
    <w:rsid w:val="009B26A9"/>
    <w:rsid w:val="00A47B63"/>
    <w:rsid w:val="00A93E9A"/>
    <w:rsid w:val="00B475B6"/>
    <w:rsid w:val="00BE3E4B"/>
    <w:rsid w:val="00C049E2"/>
    <w:rsid w:val="00C55BE5"/>
    <w:rsid w:val="00C759D6"/>
    <w:rsid w:val="00D15008"/>
    <w:rsid w:val="00D858CB"/>
    <w:rsid w:val="00F3789E"/>
    <w:rsid w:val="00FA0972"/>
    <w:rsid w:val="00F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85"/>
    <w:pPr>
      <w:spacing w:after="200" w:line="240" w:lineRule="auto"/>
      <w:jc w:val="left"/>
    </w:pPr>
    <w:rPr>
      <w:rFonts w:asciiTheme="minorHAnsi" w:hAnsiTheme="minorHAnsi" w:cstheme="minorBid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4D8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789E"/>
    <w:pPr>
      <w:spacing w:after="0" w:line="276" w:lineRule="auto"/>
      <w:ind w:left="720"/>
      <w:contextualSpacing/>
      <w:jc w:val="both"/>
    </w:pPr>
    <w:rPr>
      <w:rFonts w:ascii="Times New Roman" w:eastAsia="Calibri" w:hAnsi="Times New Roman" w:cs="Times New Roman"/>
      <w:szCs w:val="22"/>
      <w:lang w:val="fr-FR"/>
    </w:rPr>
  </w:style>
  <w:style w:type="character" w:styleId="Marquedecommentaire">
    <w:name w:val="annotation reference"/>
    <w:uiPriority w:val="99"/>
    <w:semiHidden/>
    <w:unhideWhenUsed/>
    <w:rsid w:val="00534B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B30"/>
    <w:pPr>
      <w:spacing w:line="276" w:lineRule="auto"/>
    </w:pPr>
    <w:rPr>
      <w:rFonts w:ascii="Calibri" w:eastAsia="Calibri" w:hAnsi="Calibri" w:cs="Times New Roman"/>
      <w:sz w:val="20"/>
      <w:szCs w:val="20"/>
      <w:lang w:val="fr-FR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B30"/>
    <w:rPr>
      <w:rFonts w:ascii="Calibri" w:eastAsia="Calibri" w:hAnsi="Calibri"/>
      <w:sz w:val="20"/>
      <w:szCs w:val="20"/>
      <w:lang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30"/>
    <w:rPr>
      <w:rFonts w:ascii="Tahoma" w:hAnsi="Tahoma" w:cs="Tahoma"/>
      <w:sz w:val="16"/>
      <w:szCs w:val="16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B30"/>
    <w:pPr>
      <w:spacing w:line="240" w:lineRule="auto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B30"/>
    <w:rPr>
      <w:rFonts w:asciiTheme="minorHAnsi" w:eastAsia="Calibri" w:hAnsiTheme="minorHAnsi" w:cstheme="minorBidi"/>
      <w:b/>
      <w:bCs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85"/>
    <w:pPr>
      <w:spacing w:after="200" w:line="240" w:lineRule="auto"/>
      <w:jc w:val="left"/>
    </w:pPr>
    <w:rPr>
      <w:rFonts w:asciiTheme="minorHAnsi" w:hAnsiTheme="minorHAnsi" w:cstheme="minorBid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4D8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789E"/>
    <w:pPr>
      <w:spacing w:after="0" w:line="276" w:lineRule="auto"/>
      <w:ind w:left="720"/>
      <w:contextualSpacing/>
      <w:jc w:val="both"/>
    </w:pPr>
    <w:rPr>
      <w:rFonts w:ascii="Times New Roman" w:eastAsia="Calibri" w:hAnsi="Times New Roman" w:cs="Times New Roman"/>
      <w:szCs w:val="22"/>
      <w:lang w:val="fr-FR"/>
    </w:rPr>
  </w:style>
  <w:style w:type="character" w:styleId="Marquedecommentaire">
    <w:name w:val="annotation reference"/>
    <w:uiPriority w:val="99"/>
    <w:semiHidden/>
    <w:unhideWhenUsed/>
    <w:rsid w:val="00534B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B30"/>
    <w:pPr>
      <w:spacing w:line="276" w:lineRule="auto"/>
    </w:pPr>
    <w:rPr>
      <w:rFonts w:ascii="Calibri" w:eastAsia="Calibri" w:hAnsi="Calibri" w:cs="Times New Roman"/>
      <w:sz w:val="20"/>
      <w:szCs w:val="20"/>
      <w:lang w:val="fr-FR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B30"/>
    <w:rPr>
      <w:rFonts w:ascii="Calibri" w:eastAsia="Calibri" w:hAnsi="Calibri"/>
      <w:sz w:val="20"/>
      <w:szCs w:val="20"/>
      <w:lang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30"/>
    <w:rPr>
      <w:rFonts w:ascii="Tahoma" w:hAnsi="Tahoma" w:cs="Tahoma"/>
      <w:sz w:val="16"/>
      <w:szCs w:val="16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B30"/>
    <w:pPr>
      <w:spacing w:line="240" w:lineRule="auto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B30"/>
    <w:rPr>
      <w:rFonts w:asciiTheme="minorHAnsi" w:eastAsia="Calibri" w:hAnsiTheme="minorHAnsi" w:cstheme="minorBidi"/>
      <w:b/>
      <w:bCs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t.cosnefroy@ens-lyon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Cosnefroy</dc:creator>
  <cp:lastModifiedBy>Laurent Cosnefroy</cp:lastModifiedBy>
  <cp:revision>4</cp:revision>
  <dcterms:created xsi:type="dcterms:W3CDTF">2016-01-09T16:52:00Z</dcterms:created>
  <dcterms:modified xsi:type="dcterms:W3CDTF">2016-01-10T18:10:00Z</dcterms:modified>
</cp:coreProperties>
</file>