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AB" w:rsidRPr="00297AAB" w:rsidRDefault="00297AAB" w:rsidP="00297AAB">
      <w:pPr>
        <w:jc w:val="center"/>
        <w:rPr>
          <w:rFonts w:ascii="Times New Roman" w:hAnsi="Times New Roman"/>
          <w:sz w:val="24"/>
          <w:szCs w:val="24"/>
        </w:rPr>
      </w:pPr>
      <w:r w:rsidRPr="00297AAB">
        <w:rPr>
          <w:rFonts w:ascii="Times New Roman" w:hAnsi="Times New Roman"/>
          <w:sz w:val="24"/>
          <w:szCs w:val="24"/>
        </w:rPr>
        <w:t>Congrès AREF, 4-7 juillet 2016 « A quelles questions répondons nous ? »</w:t>
      </w:r>
    </w:p>
    <w:p w:rsidR="00297AAB" w:rsidRPr="00297AAB" w:rsidRDefault="00297AAB" w:rsidP="00297AAB">
      <w:pPr>
        <w:jc w:val="center"/>
        <w:rPr>
          <w:rFonts w:ascii="Times New Roman" w:hAnsi="Times New Roman"/>
          <w:sz w:val="24"/>
          <w:szCs w:val="24"/>
        </w:rPr>
      </w:pPr>
    </w:p>
    <w:p w:rsidR="00297AAB" w:rsidRPr="00297AAB" w:rsidRDefault="00297AAB" w:rsidP="00297AAB">
      <w:pPr>
        <w:jc w:val="center"/>
        <w:rPr>
          <w:rFonts w:ascii="Times New Roman" w:hAnsi="Times New Roman"/>
          <w:b/>
          <w:sz w:val="24"/>
          <w:szCs w:val="24"/>
        </w:rPr>
      </w:pPr>
      <w:r w:rsidRPr="00297AAB">
        <w:rPr>
          <w:rFonts w:ascii="Times New Roman" w:hAnsi="Times New Roman"/>
          <w:b/>
          <w:sz w:val="24"/>
          <w:szCs w:val="24"/>
        </w:rPr>
        <w:t>Symposium  « Enjeux sociaux majeurs et questions de recherche »</w:t>
      </w:r>
    </w:p>
    <w:p w:rsidR="00297AAB" w:rsidRPr="00297AAB" w:rsidRDefault="00297AAB" w:rsidP="00297AAB">
      <w:pPr>
        <w:jc w:val="center"/>
        <w:rPr>
          <w:rFonts w:ascii="Times New Roman" w:hAnsi="Times New Roman"/>
          <w:b/>
          <w:sz w:val="24"/>
          <w:szCs w:val="24"/>
        </w:rPr>
      </w:pPr>
    </w:p>
    <w:p w:rsidR="00DD4546" w:rsidRPr="00DF6057" w:rsidRDefault="00297AAB" w:rsidP="00DF6057">
      <w:pPr>
        <w:jc w:val="center"/>
        <w:rPr>
          <w:b/>
          <w:sz w:val="24"/>
          <w:szCs w:val="24"/>
        </w:rPr>
      </w:pPr>
      <w:r w:rsidRPr="00DF6057">
        <w:rPr>
          <w:b/>
          <w:sz w:val="24"/>
          <w:szCs w:val="24"/>
        </w:rPr>
        <w:t>Le parcours du chercheur : Retours d’expérience</w:t>
      </w:r>
    </w:p>
    <w:p w:rsidR="00297AAB" w:rsidRPr="00DF6057" w:rsidRDefault="00297AAB" w:rsidP="00DF6057">
      <w:pPr>
        <w:jc w:val="center"/>
        <w:rPr>
          <w:b/>
          <w:sz w:val="24"/>
          <w:szCs w:val="24"/>
        </w:rPr>
      </w:pPr>
      <w:proofErr w:type="gramStart"/>
      <w:r w:rsidRPr="00DF6057">
        <w:rPr>
          <w:b/>
          <w:sz w:val="24"/>
          <w:szCs w:val="24"/>
        </w:rPr>
        <w:t>sur</w:t>
      </w:r>
      <w:proofErr w:type="gramEnd"/>
      <w:r w:rsidRPr="00DF6057">
        <w:rPr>
          <w:b/>
          <w:sz w:val="24"/>
          <w:szCs w:val="24"/>
        </w:rPr>
        <w:t xml:space="preserve"> des influences mutuelles et plurielles.</w:t>
      </w:r>
    </w:p>
    <w:p w:rsidR="00297AAB" w:rsidRPr="00297AAB" w:rsidRDefault="00297AAB" w:rsidP="006451D5">
      <w:pPr>
        <w:jc w:val="center"/>
        <w:rPr>
          <w:rFonts w:ascii="Times New Roman" w:hAnsi="Times New Roman"/>
          <w:sz w:val="24"/>
          <w:szCs w:val="24"/>
        </w:rPr>
      </w:pPr>
    </w:p>
    <w:p w:rsidR="001C4C20" w:rsidRDefault="00694262" w:rsidP="006451D5">
      <w:pPr>
        <w:jc w:val="center"/>
        <w:rPr>
          <w:i/>
          <w:color w:val="3366FF"/>
          <w:sz w:val="24"/>
          <w:szCs w:val="24"/>
        </w:rPr>
      </w:pPr>
      <w:r w:rsidRPr="00297AAB">
        <w:rPr>
          <w:sz w:val="24"/>
          <w:szCs w:val="24"/>
        </w:rPr>
        <w:t>Véronique Haberey</w:t>
      </w:r>
      <w:r w:rsidR="00F24514">
        <w:rPr>
          <w:sz w:val="24"/>
          <w:szCs w:val="24"/>
        </w:rPr>
        <w:t>-Knuessi, Professeur Haute Ecole de Santé Arc – Neuchâtel (Suisse) – Rattachée au laboratoire de recherche CRF (Centre de recherche et de formation) CNAM-Paris.</w:t>
      </w:r>
    </w:p>
    <w:p w:rsidR="000129D8" w:rsidRPr="00297AAB" w:rsidRDefault="000129D8" w:rsidP="000932D8">
      <w:pPr>
        <w:jc w:val="both"/>
        <w:rPr>
          <w:i/>
          <w:color w:val="3366FF"/>
          <w:sz w:val="24"/>
          <w:szCs w:val="24"/>
        </w:rPr>
      </w:pPr>
    </w:p>
    <w:p w:rsidR="00694262" w:rsidRPr="00577323" w:rsidRDefault="00DB76D0" w:rsidP="000932D8">
      <w:pPr>
        <w:jc w:val="both"/>
        <w:rPr>
          <w:i/>
          <w:sz w:val="24"/>
          <w:szCs w:val="24"/>
        </w:rPr>
      </w:pPr>
      <w:r w:rsidRPr="00577323">
        <w:rPr>
          <w:sz w:val="24"/>
          <w:szCs w:val="24"/>
        </w:rPr>
        <w:t xml:space="preserve">Mots clés : </w:t>
      </w:r>
      <w:r w:rsidR="00F24514" w:rsidRPr="00577323">
        <w:rPr>
          <w:i/>
          <w:sz w:val="24"/>
          <w:szCs w:val="24"/>
        </w:rPr>
        <w:t>Systèmes de santé – neutralité – engagement – analyse introspective</w:t>
      </w:r>
      <w:r w:rsidR="009B23A0" w:rsidRPr="00577323">
        <w:rPr>
          <w:i/>
          <w:sz w:val="24"/>
          <w:szCs w:val="24"/>
        </w:rPr>
        <w:t xml:space="preserve"> - cheminement</w:t>
      </w:r>
    </w:p>
    <w:p w:rsidR="004A7FD6" w:rsidRPr="00577323" w:rsidRDefault="00317B47" w:rsidP="000932D8">
      <w:pPr>
        <w:jc w:val="both"/>
        <w:rPr>
          <w:sz w:val="24"/>
          <w:szCs w:val="24"/>
        </w:rPr>
      </w:pPr>
      <w:bookmarkStart w:id="0" w:name="_GoBack"/>
      <w:bookmarkEnd w:id="0"/>
      <w:r w:rsidRPr="00577323">
        <w:rPr>
          <w:sz w:val="24"/>
          <w:szCs w:val="24"/>
        </w:rPr>
        <w:t>Le domaine</w:t>
      </w:r>
      <w:r w:rsidR="004A7FD6" w:rsidRPr="00577323">
        <w:rPr>
          <w:sz w:val="24"/>
          <w:szCs w:val="24"/>
        </w:rPr>
        <w:t xml:space="preserve"> de </w:t>
      </w:r>
      <w:r w:rsidRPr="00577323">
        <w:rPr>
          <w:sz w:val="24"/>
          <w:szCs w:val="24"/>
        </w:rPr>
        <w:t xml:space="preserve">la </w:t>
      </w:r>
      <w:r w:rsidR="004A7FD6" w:rsidRPr="00577323">
        <w:rPr>
          <w:sz w:val="24"/>
          <w:szCs w:val="24"/>
        </w:rPr>
        <w:t xml:space="preserve">santé est, comme différents autres grands systèmes actuels, en pleine mutation. Soumis de l’intérieur à d’importantes restructurations, ces changements influencent autant le fonctionnement du système lui-même, ses missions et sa vocation, que les rapports qu’il entretient avec les usagers et les professionnels. </w:t>
      </w:r>
    </w:p>
    <w:p w:rsidR="004A7FD6" w:rsidRPr="00577323" w:rsidRDefault="004A7FD6" w:rsidP="000932D8">
      <w:pPr>
        <w:jc w:val="both"/>
        <w:rPr>
          <w:sz w:val="24"/>
          <w:szCs w:val="24"/>
        </w:rPr>
      </w:pPr>
      <w:r w:rsidRPr="00577323">
        <w:rPr>
          <w:sz w:val="24"/>
          <w:szCs w:val="24"/>
        </w:rPr>
        <w:t>L’importance des transformations en cours</w:t>
      </w:r>
      <w:r w:rsidR="00317B47" w:rsidRPr="00577323">
        <w:rPr>
          <w:sz w:val="24"/>
          <w:szCs w:val="24"/>
        </w:rPr>
        <w:t>,</w:t>
      </w:r>
      <w:r w:rsidRPr="00577323">
        <w:rPr>
          <w:sz w:val="24"/>
          <w:szCs w:val="24"/>
        </w:rPr>
        <w:t xml:space="preserve"> </w:t>
      </w:r>
      <w:r w:rsidR="00210B92" w:rsidRPr="00577323">
        <w:rPr>
          <w:sz w:val="24"/>
          <w:szCs w:val="24"/>
        </w:rPr>
        <w:t>donne lieu à de multiples recherches explorant différentes problématiques. De par leur connaissance approfondie du domaine spécifique de la santé, les professionnels du soin sont sans doute particulièrement aptes</w:t>
      </w:r>
      <w:r w:rsidR="00317B47" w:rsidRPr="00577323">
        <w:rPr>
          <w:sz w:val="24"/>
          <w:szCs w:val="24"/>
        </w:rPr>
        <w:t xml:space="preserve"> à conduire des projets</w:t>
      </w:r>
      <w:r w:rsidR="00210B92" w:rsidRPr="00577323">
        <w:rPr>
          <w:sz w:val="24"/>
          <w:szCs w:val="24"/>
        </w:rPr>
        <w:t xml:space="preserve"> dans ce milieu. Pour autant sont-ils réellement neutres ? Il serait intéressant d’examiner la manière dont leur expérience de terrain façonne leur cheminement jusqu’à la conduite d’une recherche, d’observer leur manière d’analyser les matériaux recueillis, ou encore d’explorer l’impact que les recherches menées vont ensuite avoir sur leur compréhension du soin et de la santé.</w:t>
      </w:r>
    </w:p>
    <w:p w:rsidR="001C4C20" w:rsidRPr="00297AAB" w:rsidRDefault="001C4C20" w:rsidP="000932D8">
      <w:pPr>
        <w:jc w:val="both"/>
        <w:rPr>
          <w:sz w:val="24"/>
          <w:szCs w:val="24"/>
        </w:rPr>
      </w:pPr>
      <w:r w:rsidRPr="00297AAB">
        <w:rPr>
          <w:sz w:val="24"/>
          <w:szCs w:val="24"/>
        </w:rPr>
        <w:t xml:space="preserve">Partant de la considération de </w:t>
      </w:r>
      <w:r w:rsidR="00BE00D4" w:rsidRPr="00297AAB">
        <w:rPr>
          <w:sz w:val="24"/>
          <w:szCs w:val="24"/>
        </w:rPr>
        <w:t>Nuttin (2000</w:t>
      </w:r>
      <w:r w:rsidR="00DF58B6" w:rsidRPr="00297AAB">
        <w:rPr>
          <w:sz w:val="24"/>
          <w:szCs w:val="24"/>
        </w:rPr>
        <w:t xml:space="preserve">) selon laquelle </w:t>
      </w:r>
      <w:r w:rsidRPr="00297AAB">
        <w:rPr>
          <w:sz w:val="24"/>
          <w:szCs w:val="24"/>
        </w:rPr>
        <w:t xml:space="preserve">la motivation </w:t>
      </w:r>
      <w:r w:rsidR="00DF58B6" w:rsidRPr="00297AAB">
        <w:rPr>
          <w:sz w:val="24"/>
          <w:szCs w:val="24"/>
        </w:rPr>
        <w:t>serait co</w:t>
      </w:r>
      <w:r w:rsidR="00BE00D4" w:rsidRPr="00297AAB">
        <w:rPr>
          <w:sz w:val="24"/>
          <w:szCs w:val="24"/>
        </w:rPr>
        <w:t>nstituée de forces internes encourageant</w:t>
      </w:r>
      <w:r w:rsidR="00DF58B6" w:rsidRPr="00297AAB">
        <w:rPr>
          <w:sz w:val="24"/>
          <w:szCs w:val="24"/>
        </w:rPr>
        <w:t xml:space="preserve"> à un certain comportement qui, lui, trouve son épanouissement dans l’engagement, il semble dès lors</w:t>
      </w:r>
      <w:r w:rsidRPr="00297AAB">
        <w:rPr>
          <w:sz w:val="24"/>
          <w:szCs w:val="24"/>
        </w:rPr>
        <w:t xml:space="preserve"> difficile de penser </w:t>
      </w:r>
      <w:proofErr w:type="gramStart"/>
      <w:r w:rsidRPr="00297AAB">
        <w:rPr>
          <w:sz w:val="24"/>
          <w:szCs w:val="24"/>
        </w:rPr>
        <w:t>que</w:t>
      </w:r>
      <w:proofErr w:type="gramEnd"/>
      <w:r w:rsidRPr="00297AAB">
        <w:rPr>
          <w:sz w:val="24"/>
          <w:szCs w:val="24"/>
        </w:rPr>
        <w:t xml:space="preserve"> le choix d’un objet de recherche relève d’une pure rencontre fortuite. </w:t>
      </w:r>
    </w:p>
    <w:p w:rsidR="001C4C20" w:rsidRPr="00297AAB" w:rsidRDefault="00496ED4" w:rsidP="000932D8">
      <w:pPr>
        <w:jc w:val="both"/>
        <w:rPr>
          <w:sz w:val="24"/>
          <w:szCs w:val="24"/>
        </w:rPr>
      </w:pPr>
      <w:r w:rsidRPr="00297AAB">
        <w:rPr>
          <w:sz w:val="24"/>
          <w:szCs w:val="24"/>
        </w:rPr>
        <w:t>Selon Marty et Marie-Grimaldi (2004), le chercheur se situe au cœur du dispositif de recherche, « pris au cœur de l’étoffe qu’il tisse » (p.7). Loin d’être un phénomène uniquement négatif, la sensibilité investie dans l’objet de recherche est aussi une richesse dans la manière d’aborder cet objet</w:t>
      </w:r>
      <w:r w:rsidR="00C36D3B" w:rsidRPr="00297AAB">
        <w:rPr>
          <w:sz w:val="24"/>
          <w:szCs w:val="24"/>
        </w:rPr>
        <w:t xml:space="preserve"> (Raymond, 2010)</w:t>
      </w:r>
      <w:r w:rsidRPr="00297AAB">
        <w:rPr>
          <w:sz w:val="24"/>
          <w:szCs w:val="24"/>
        </w:rPr>
        <w:t>.</w:t>
      </w:r>
    </w:p>
    <w:p w:rsidR="00496ED4" w:rsidRPr="00297AAB" w:rsidRDefault="00496ED4" w:rsidP="000932D8">
      <w:pPr>
        <w:jc w:val="both"/>
        <w:rPr>
          <w:sz w:val="24"/>
          <w:szCs w:val="24"/>
        </w:rPr>
      </w:pPr>
      <w:r w:rsidRPr="00297AAB">
        <w:rPr>
          <w:sz w:val="24"/>
          <w:szCs w:val="24"/>
        </w:rPr>
        <w:t>C’est ce parcours singulier du chercheur et son cheminement avec son objet de recherche que nous nous proposons d’explorer au travers de notre propre expérience, ainsi que de l’expérience de deux autres chercheurs.</w:t>
      </w:r>
    </w:p>
    <w:p w:rsidR="00D0384D" w:rsidRPr="00297AAB" w:rsidRDefault="005C05E7" w:rsidP="000932D8">
      <w:pPr>
        <w:jc w:val="both"/>
        <w:rPr>
          <w:sz w:val="24"/>
          <w:szCs w:val="24"/>
        </w:rPr>
      </w:pPr>
      <w:r w:rsidRPr="00297AAB">
        <w:rPr>
          <w:sz w:val="24"/>
          <w:szCs w:val="24"/>
        </w:rPr>
        <w:lastRenderedPageBreak/>
        <w:t>Une double méthodologie qualitative alliant récits biographiques</w:t>
      </w:r>
      <w:r w:rsidR="000F7AE6" w:rsidRPr="00297AAB">
        <w:rPr>
          <w:sz w:val="24"/>
          <w:szCs w:val="24"/>
        </w:rPr>
        <w:t xml:space="preserve"> </w:t>
      </w:r>
      <w:r w:rsidR="00BE00D4" w:rsidRPr="00297AAB">
        <w:rPr>
          <w:sz w:val="24"/>
          <w:szCs w:val="24"/>
        </w:rPr>
        <w:t>(Demazière et Dubar, 1997</w:t>
      </w:r>
      <w:r w:rsidR="000F7AE6" w:rsidRPr="00297AAB">
        <w:rPr>
          <w:sz w:val="24"/>
          <w:szCs w:val="24"/>
        </w:rPr>
        <w:t xml:space="preserve">) </w:t>
      </w:r>
      <w:r w:rsidR="00BE00D4" w:rsidRPr="00297AAB">
        <w:rPr>
          <w:sz w:val="24"/>
          <w:szCs w:val="24"/>
        </w:rPr>
        <w:t xml:space="preserve">et cheminement introspectif </w:t>
      </w:r>
      <w:r w:rsidR="000F7AE6" w:rsidRPr="00297AAB">
        <w:rPr>
          <w:sz w:val="24"/>
          <w:szCs w:val="24"/>
        </w:rPr>
        <w:t xml:space="preserve">selon la </w:t>
      </w:r>
      <w:r w:rsidRPr="00297AAB">
        <w:rPr>
          <w:sz w:val="24"/>
          <w:szCs w:val="24"/>
        </w:rPr>
        <w:t>méthode d’analyse introspective de Diel</w:t>
      </w:r>
      <w:r w:rsidR="00BE00D4" w:rsidRPr="00297AAB">
        <w:rPr>
          <w:sz w:val="24"/>
          <w:szCs w:val="24"/>
        </w:rPr>
        <w:t xml:space="preserve"> (Solotareff, 2007), permettra de mettre en lumière les zones d’influence entre le chercheur et son objet d’un côté, pointant par exemple ses choix thématiques premiers ainsi que le déroulement d’un processus de plusieurs années de recherche, mais le focus sera également mis sur l’importance des rencontres qui auront pu avoir lieu durant ces recherches. Les mouvements d’influence pluriels du chercheur sur son objet et / ou sur le terrain de la recherche, mais aussi l’influence de l’objet et de son contexte sur le chercheur lui-même, ses représentations, son analyse et au-delà sur la poursuite de ses activités de recherche, seront ainsi examinées avec autant de distanciation que le sujet rende possible.</w:t>
      </w:r>
    </w:p>
    <w:p w:rsidR="000F7AE6" w:rsidRPr="00297AAB" w:rsidRDefault="000F7AE6" w:rsidP="000932D8">
      <w:pPr>
        <w:jc w:val="both"/>
        <w:rPr>
          <w:sz w:val="24"/>
          <w:szCs w:val="24"/>
        </w:rPr>
      </w:pPr>
    </w:p>
    <w:p w:rsidR="000F7AE6" w:rsidRPr="00297AAB" w:rsidRDefault="00BE00D4" w:rsidP="000932D8">
      <w:pPr>
        <w:jc w:val="both"/>
        <w:rPr>
          <w:sz w:val="24"/>
          <w:szCs w:val="24"/>
          <w:lang w:val="fr-FR"/>
        </w:rPr>
      </w:pPr>
      <w:proofErr w:type="spellStart"/>
      <w:r w:rsidRPr="00297AAB">
        <w:rPr>
          <w:sz w:val="24"/>
          <w:szCs w:val="24"/>
          <w:lang w:val="fr-FR"/>
        </w:rPr>
        <w:t>Demazière</w:t>
      </w:r>
      <w:proofErr w:type="spellEnd"/>
      <w:r w:rsidRPr="00297AAB">
        <w:rPr>
          <w:sz w:val="24"/>
          <w:szCs w:val="24"/>
          <w:lang w:val="fr-FR"/>
        </w:rPr>
        <w:t>, D. &amp; Dubar, C. (1997</w:t>
      </w:r>
      <w:r w:rsidR="000F7AE6" w:rsidRPr="00297AAB">
        <w:rPr>
          <w:sz w:val="24"/>
          <w:szCs w:val="24"/>
          <w:lang w:val="fr-FR"/>
        </w:rPr>
        <w:t xml:space="preserve">). </w:t>
      </w:r>
      <w:r w:rsidR="000F7AE6" w:rsidRPr="00297AAB">
        <w:rPr>
          <w:rStyle w:val="Accentuation"/>
          <w:sz w:val="24"/>
          <w:szCs w:val="24"/>
          <w:lang w:val="fr-FR"/>
        </w:rPr>
        <w:t>Analyser les entretiens biographiques. L’exemple de récits d’insertion</w:t>
      </w:r>
      <w:r w:rsidR="000F7AE6" w:rsidRPr="00297AAB">
        <w:rPr>
          <w:sz w:val="24"/>
          <w:szCs w:val="24"/>
          <w:lang w:val="fr-FR"/>
        </w:rPr>
        <w:t>. Paris : Nathan.</w:t>
      </w:r>
    </w:p>
    <w:p w:rsidR="000F7AE6" w:rsidRPr="00297AAB" w:rsidRDefault="000F7AE6" w:rsidP="000F7AE6">
      <w:pPr>
        <w:rPr>
          <w:sz w:val="24"/>
          <w:szCs w:val="24"/>
        </w:rPr>
      </w:pPr>
      <w:r w:rsidRPr="00297AAB">
        <w:rPr>
          <w:sz w:val="24"/>
          <w:szCs w:val="24"/>
        </w:rPr>
        <w:t xml:space="preserve">Marty F., Marie-Grimaldi, H. (2004). </w:t>
      </w:r>
      <w:r w:rsidRPr="00297AAB">
        <w:rPr>
          <w:i/>
          <w:sz w:val="24"/>
          <w:szCs w:val="24"/>
        </w:rPr>
        <w:t>L’aventure de la recherche en psychologie clinique et psychopathologie</w:t>
      </w:r>
      <w:r w:rsidRPr="00297AAB">
        <w:rPr>
          <w:sz w:val="24"/>
          <w:szCs w:val="24"/>
        </w:rPr>
        <w:t>. Rouen : PUR.</w:t>
      </w:r>
    </w:p>
    <w:p w:rsidR="00BE00D4" w:rsidRPr="00297AAB" w:rsidRDefault="00BE00D4" w:rsidP="000F7AE6">
      <w:pPr>
        <w:rPr>
          <w:sz w:val="24"/>
          <w:szCs w:val="24"/>
        </w:rPr>
      </w:pPr>
      <w:r w:rsidRPr="00297AAB">
        <w:rPr>
          <w:sz w:val="24"/>
          <w:szCs w:val="24"/>
        </w:rPr>
        <w:t xml:space="preserve">Nuttin, J. (2000). </w:t>
      </w:r>
      <w:r w:rsidRPr="00297AAB">
        <w:rPr>
          <w:i/>
          <w:iCs/>
          <w:sz w:val="24"/>
          <w:szCs w:val="24"/>
        </w:rPr>
        <w:t>Théorie de la motivation humaine.</w:t>
      </w:r>
      <w:r w:rsidRPr="00297AAB">
        <w:rPr>
          <w:sz w:val="24"/>
          <w:szCs w:val="24"/>
        </w:rPr>
        <w:t xml:space="preserve"> 5</w:t>
      </w:r>
      <w:r w:rsidRPr="00297AAB">
        <w:rPr>
          <w:sz w:val="24"/>
          <w:szCs w:val="24"/>
          <w:vertAlign w:val="superscript"/>
        </w:rPr>
        <w:t>e</w:t>
      </w:r>
      <w:r w:rsidRPr="00297AAB">
        <w:rPr>
          <w:sz w:val="24"/>
          <w:szCs w:val="24"/>
        </w:rPr>
        <w:t xml:space="preserve">  éd. Paris: PUF.</w:t>
      </w:r>
    </w:p>
    <w:p w:rsidR="00EC2341" w:rsidRPr="00297AAB" w:rsidRDefault="00EC2341" w:rsidP="00EC2341">
      <w:pPr>
        <w:autoSpaceDE w:val="0"/>
        <w:autoSpaceDN w:val="0"/>
        <w:adjustRightInd w:val="0"/>
        <w:spacing w:after="0" w:line="240" w:lineRule="auto"/>
        <w:rPr>
          <w:i/>
          <w:iCs/>
          <w:sz w:val="24"/>
          <w:szCs w:val="24"/>
        </w:rPr>
      </w:pPr>
      <w:r w:rsidRPr="00297AAB">
        <w:rPr>
          <w:sz w:val="24"/>
          <w:szCs w:val="24"/>
        </w:rPr>
        <w:t xml:space="preserve">Raymond, A. (2010). L'alter et le chercheur : auto-analyse d'une posture, </w:t>
      </w:r>
      <w:r w:rsidRPr="00297AAB">
        <w:rPr>
          <w:i/>
          <w:iCs/>
          <w:sz w:val="24"/>
          <w:szCs w:val="24"/>
        </w:rPr>
        <w:t>Bulletin de</w:t>
      </w:r>
    </w:p>
    <w:p w:rsidR="00EC2341" w:rsidRPr="00297AAB" w:rsidRDefault="00EC2341" w:rsidP="00EC2341">
      <w:pPr>
        <w:rPr>
          <w:sz w:val="24"/>
          <w:szCs w:val="24"/>
        </w:rPr>
      </w:pPr>
      <w:r w:rsidRPr="00297AAB">
        <w:rPr>
          <w:i/>
          <w:iCs/>
          <w:sz w:val="24"/>
          <w:szCs w:val="24"/>
        </w:rPr>
        <w:t xml:space="preserve">Psychologie </w:t>
      </w:r>
      <w:r w:rsidRPr="00297AAB">
        <w:rPr>
          <w:i/>
          <w:sz w:val="24"/>
          <w:szCs w:val="24"/>
        </w:rPr>
        <w:t xml:space="preserve">1/505, </w:t>
      </w:r>
      <w:r w:rsidRPr="00297AAB">
        <w:rPr>
          <w:sz w:val="24"/>
          <w:szCs w:val="24"/>
        </w:rPr>
        <w:t>p. 39-48.</w:t>
      </w:r>
    </w:p>
    <w:p w:rsidR="000F7AE6" w:rsidRPr="00297AAB" w:rsidRDefault="000F7AE6" w:rsidP="000932D8">
      <w:pPr>
        <w:jc w:val="both"/>
        <w:rPr>
          <w:sz w:val="24"/>
          <w:szCs w:val="24"/>
          <w:lang w:val="fr-FR"/>
        </w:rPr>
      </w:pPr>
      <w:proofErr w:type="spellStart"/>
      <w:r w:rsidRPr="00297AAB">
        <w:rPr>
          <w:sz w:val="24"/>
          <w:szCs w:val="24"/>
          <w:lang w:val="fr-FR"/>
        </w:rPr>
        <w:t>Solotareff</w:t>
      </w:r>
      <w:proofErr w:type="spellEnd"/>
      <w:r w:rsidRPr="00297AAB">
        <w:rPr>
          <w:sz w:val="24"/>
          <w:szCs w:val="24"/>
          <w:lang w:val="fr-FR"/>
        </w:rPr>
        <w:t xml:space="preserve">, J. (2007). L’esprit en question. L’éclairage de la psychanalyse de Paul </w:t>
      </w:r>
      <w:proofErr w:type="spellStart"/>
      <w:r w:rsidRPr="00297AAB">
        <w:rPr>
          <w:sz w:val="24"/>
          <w:szCs w:val="24"/>
          <w:lang w:val="fr-FR"/>
        </w:rPr>
        <w:t>Diel</w:t>
      </w:r>
      <w:proofErr w:type="spellEnd"/>
      <w:r w:rsidRPr="00297AAB">
        <w:rPr>
          <w:sz w:val="24"/>
          <w:szCs w:val="24"/>
          <w:lang w:val="fr-FR"/>
        </w:rPr>
        <w:t xml:space="preserve">. Paris : Ellébore. </w:t>
      </w:r>
    </w:p>
    <w:sectPr w:rsidR="000F7AE6" w:rsidRPr="00297AAB" w:rsidSect="002345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D0384D"/>
    <w:rsid w:val="000129D8"/>
    <w:rsid w:val="00043373"/>
    <w:rsid w:val="000932D8"/>
    <w:rsid w:val="000F7AE6"/>
    <w:rsid w:val="001C4C20"/>
    <w:rsid w:val="00210B92"/>
    <w:rsid w:val="002345D9"/>
    <w:rsid w:val="0024665C"/>
    <w:rsid w:val="00297AAB"/>
    <w:rsid w:val="002F7BE4"/>
    <w:rsid w:val="00317B47"/>
    <w:rsid w:val="003B4AA0"/>
    <w:rsid w:val="003C55CB"/>
    <w:rsid w:val="00482A68"/>
    <w:rsid w:val="00496ED4"/>
    <w:rsid w:val="004A7FD6"/>
    <w:rsid w:val="00577323"/>
    <w:rsid w:val="00577A92"/>
    <w:rsid w:val="005C05E7"/>
    <w:rsid w:val="00643092"/>
    <w:rsid w:val="006451D5"/>
    <w:rsid w:val="00694262"/>
    <w:rsid w:val="0071655B"/>
    <w:rsid w:val="009B23A0"/>
    <w:rsid w:val="009E18DE"/>
    <w:rsid w:val="00B24C9D"/>
    <w:rsid w:val="00B620A1"/>
    <w:rsid w:val="00BE00D4"/>
    <w:rsid w:val="00C00DD4"/>
    <w:rsid w:val="00C36D3B"/>
    <w:rsid w:val="00D026E7"/>
    <w:rsid w:val="00D0384D"/>
    <w:rsid w:val="00D373F4"/>
    <w:rsid w:val="00DB76D0"/>
    <w:rsid w:val="00DD4546"/>
    <w:rsid w:val="00DF58B6"/>
    <w:rsid w:val="00DF6057"/>
    <w:rsid w:val="00EC2341"/>
    <w:rsid w:val="00F16E1A"/>
    <w:rsid w:val="00F245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5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F7AE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F7AE6"/>
    <w:rPr>
      <w:i/>
      <w:i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3186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Haute Ecole Arc</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Haberey Knuessi Véronique</dc:creator>
  <cp:lastModifiedBy>wittorski</cp:lastModifiedBy>
  <cp:revision>2</cp:revision>
  <dcterms:created xsi:type="dcterms:W3CDTF">2015-12-31T10:16:00Z</dcterms:created>
  <dcterms:modified xsi:type="dcterms:W3CDTF">2015-12-31T10:16:00Z</dcterms:modified>
</cp:coreProperties>
</file>