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5C03" w14:textId="77777777" w:rsidR="00B24178" w:rsidRPr="00B24178" w:rsidRDefault="00B24178" w:rsidP="00B24178">
      <w:pPr>
        <w:jc w:val="center"/>
        <w:rPr>
          <w:rFonts w:eastAsia="Times New Roman" w:cs="Lucida Grande"/>
        </w:rPr>
      </w:pPr>
      <w:r w:rsidRPr="00B24178">
        <w:rPr>
          <w:rFonts w:eastAsia="Times New Roman" w:cs="Lucida Grande"/>
        </w:rPr>
        <w:t>CONGRÈS AREF</w:t>
      </w:r>
    </w:p>
    <w:p w14:paraId="0BBA4915" w14:textId="03F00F60" w:rsidR="00B24178" w:rsidRPr="00B24178" w:rsidRDefault="001E02EC" w:rsidP="00B24178">
      <w:pPr>
        <w:jc w:val="center"/>
        <w:rPr>
          <w:rFonts w:eastAsia="Times New Roman" w:cs="Lucida Grande"/>
        </w:rPr>
      </w:pPr>
      <w:r>
        <w:rPr>
          <w:rFonts w:eastAsia="Times New Roman" w:cs="Lucida Grande"/>
        </w:rPr>
        <w:t>S</w:t>
      </w:r>
      <w:r w:rsidR="00B24178" w:rsidRPr="00B24178">
        <w:rPr>
          <w:rFonts w:eastAsia="Times New Roman" w:cs="Lucida Grande"/>
        </w:rPr>
        <w:t xml:space="preserve">ymposium : </w:t>
      </w:r>
      <w:r w:rsidR="00B24178" w:rsidRPr="001E02EC">
        <w:rPr>
          <w:rFonts w:eastAsia="Times New Roman" w:cs="Lucida Grande"/>
          <w:b/>
        </w:rPr>
        <w:t>Quels usages des concepts de la didactique clinique en formation ?</w:t>
      </w:r>
    </w:p>
    <w:p w14:paraId="66A40D70" w14:textId="77777777" w:rsidR="00C46B04" w:rsidRDefault="00C46B04" w:rsidP="00C46B04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14:paraId="3EA4809E" w14:textId="77777777" w:rsidR="00C46B04" w:rsidRDefault="007B7390" w:rsidP="00C46B04">
      <w:pPr>
        <w:shd w:val="clear" w:color="auto" w:fill="FFFFFF"/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Origines expérientielles et </w:t>
      </w:r>
      <w:r w:rsidR="00F979BF">
        <w:rPr>
          <w:b/>
          <w:sz w:val="26"/>
          <w:szCs w:val="26"/>
        </w:rPr>
        <w:t>dimension subjective des processus transpositifs : usages en recherche et en formation des enseignants de la problématique</w:t>
      </w:r>
      <w:r w:rsidR="00805148">
        <w:rPr>
          <w:b/>
          <w:sz w:val="26"/>
          <w:szCs w:val="26"/>
        </w:rPr>
        <w:t xml:space="preserve"> </w:t>
      </w:r>
      <w:r w:rsidR="00F979BF">
        <w:rPr>
          <w:b/>
          <w:sz w:val="26"/>
          <w:szCs w:val="26"/>
        </w:rPr>
        <w:t>de la conversion didactique</w:t>
      </w:r>
    </w:p>
    <w:p w14:paraId="09394AAE" w14:textId="36C875EB" w:rsidR="00C46B04" w:rsidRDefault="00C46B04" w:rsidP="00E82FA6">
      <w:pPr>
        <w:shd w:val="clear" w:color="auto" w:fill="FFFFFF"/>
        <w:tabs>
          <w:tab w:val="center" w:pos="4536"/>
          <w:tab w:val="left" w:pos="6035"/>
        </w:tabs>
        <w:spacing w:after="0" w:line="240" w:lineRule="auto"/>
        <w:rPr>
          <w:b/>
        </w:rPr>
      </w:pPr>
    </w:p>
    <w:p w14:paraId="75F2AD2E" w14:textId="77777777" w:rsidR="00CE1302" w:rsidRDefault="00CE1302" w:rsidP="00CE1302">
      <w:pPr>
        <w:jc w:val="both"/>
        <w:rPr>
          <w:bCs/>
        </w:rPr>
      </w:pPr>
    </w:p>
    <w:p w14:paraId="79EAB1D9" w14:textId="77777777" w:rsidR="00CE1302" w:rsidRDefault="00CE1302" w:rsidP="00CE1302">
      <w:pPr>
        <w:jc w:val="both"/>
      </w:pPr>
      <w:r>
        <w:rPr>
          <w:bCs/>
        </w:rPr>
        <w:t xml:space="preserve">Notre intervention proposera un cadre et des exemples de réponses à deux questions : </w:t>
      </w:r>
      <w:r w:rsidR="00D95206" w:rsidRPr="00D95206">
        <w:rPr>
          <w:bCs/>
          <w:i/>
        </w:rPr>
        <w:t>1. Q</w:t>
      </w:r>
      <w:r w:rsidR="00F979BF" w:rsidRPr="00D95206">
        <w:rPr>
          <w:i/>
        </w:rPr>
        <w:t>uelle</w:t>
      </w:r>
      <w:r w:rsidR="00F979BF" w:rsidRPr="005802A8">
        <w:rPr>
          <w:i/>
        </w:rPr>
        <w:t xml:space="preserve"> est la part du sujet enseignant dans la transposition didactique ?</w:t>
      </w:r>
      <w:r w:rsidR="00F979BF">
        <w:t xml:space="preserve"> </w:t>
      </w:r>
      <w:r w:rsidR="00D95206">
        <w:t xml:space="preserve">2. </w:t>
      </w:r>
      <w:r w:rsidRPr="00CE1302">
        <w:rPr>
          <w:i/>
        </w:rPr>
        <w:t>Comment cette part peut-elle être intégrée en formation des enseignants débutants ?</w:t>
      </w:r>
      <w:r>
        <w:t xml:space="preserve"> </w:t>
      </w:r>
    </w:p>
    <w:p w14:paraId="3BB5C0A7" w14:textId="0F850165" w:rsidR="00F979BF" w:rsidRDefault="00CE1302" w:rsidP="00CE1302">
      <w:pPr>
        <w:jc w:val="both"/>
      </w:pPr>
      <w:r>
        <w:t>Pour aborder la première, nous présenterons les usages empiriques et les soubassements épistémologiques du c</w:t>
      </w:r>
      <w:r w:rsidR="00E82FA6">
        <w:t xml:space="preserve">oncept de conversion didactique. </w:t>
      </w:r>
      <w:r w:rsidR="000571F3">
        <w:t xml:space="preserve">Nous avons mené </w:t>
      </w:r>
      <w:r w:rsidR="00F979BF">
        <w:t>une revue des travaux menés dans le c</w:t>
      </w:r>
      <w:r w:rsidR="00515CAA">
        <w:t>hamp de la didactique clinique (</w:t>
      </w:r>
      <w:r w:rsidR="00F979BF">
        <w:t xml:space="preserve">Carnus, Terrisse, 2013), </w:t>
      </w:r>
      <w:r w:rsidR="000571F3">
        <w:t xml:space="preserve">centrée sur </w:t>
      </w:r>
      <w:r w:rsidR="00F979BF">
        <w:t xml:space="preserve">les rapports identifiables entre les expériences personnelles de plusieurs enseignants et leurs activités didactiques en classe. </w:t>
      </w:r>
      <w:r w:rsidR="000571F3">
        <w:t>Au travers de n</w:t>
      </w:r>
      <w:r w:rsidR="00F979BF" w:rsidRPr="00BE1465">
        <w:t>euf</w:t>
      </w:r>
      <w:r w:rsidR="00F979BF">
        <w:t xml:space="preserve"> études de cas – en EPS au collège ou au lycée, et dans des domaines spécifiques (poésie, jeu) à l’école primaire – </w:t>
      </w:r>
      <w:r w:rsidR="000571F3">
        <w:t>nous questionnons alors ce concept qui les traverse</w:t>
      </w:r>
      <w:r w:rsidR="00F979BF">
        <w:t xml:space="preserve">. </w:t>
      </w:r>
      <w:r w:rsidR="000571F3">
        <w:t xml:space="preserve">La conversion didactique </w:t>
      </w:r>
      <w:r w:rsidR="00F979BF">
        <w:t>décrit</w:t>
      </w:r>
      <w:r w:rsidR="00F979BF" w:rsidRPr="00A124B5">
        <w:t xml:space="preserve"> la conversion du contenu de l’expérience </w:t>
      </w:r>
      <w:r w:rsidR="00F979BF">
        <w:t>personnelle</w:t>
      </w:r>
      <w:r w:rsidR="00F979BF" w:rsidRPr="00A124B5">
        <w:t xml:space="preserve"> du sujet </w:t>
      </w:r>
      <w:r w:rsidR="00F979BF">
        <w:t xml:space="preserve">(expériences disciplinaire, épistémique et didactique) </w:t>
      </w:r>
      <w:r w:rsidR="00F979BF" w:rsidRPr="00A124B5">
        <w:t>en contenu d’enseignement élaboré et transmis par le sujet enseignant</w:t>
      </w:r>
      <w:r w:rsidR="00F979BF">
        <w:t xml:space="preserve">. </w:t>
      </w:r>
      <w:r w:rsidR="000571F3">
        <w:t>U</w:t>
      </w:r>
      <w:r w:rsidR="00F979BF">
        <w:t>tilisé dans plusieurs recherches</w:t>
      </w:r>
      <w:r w:rsidR="00E82FA6">
        <w:t xml:space="preserve"> en didactique clinique</w:t>
      </w:r>
      <w:r w:rsidR="00F979BF">
        <w:t xml:space="preserve"> </w:t>
      </w:r>
      <w:r w:rsidR="00E82FA6">
        <w:t>(</w:t>
      </w:r>
      <w:r w:rsidR="00F979BF">
        <w:t>Jourdan, Brossais, 201</w:t>
      </w:r>
      <w:r w:rsidR="000571F3">
        <w:t>1 ; Léal, 2012 ; Touboul, 2011), ce concept</w:t>
      </w:r>
      <w:r w:rsidR="00F979BF">
        <w:t xml:space="preserve"> trouve aussi des fondements épistémologiques en didactique des mathématiques (Brousseau, Centeno, 1991), en psychanalyse (Freud, 1895/2002) et à partir de regards croisés en sciences de l’éducation (Baillé, 2007). Nous nous attach</w:t>
      </w:r>
      <w:r>
        <w:t>er</w:t>
      </w:r>
      <w:r w:rsidR="00F979BF">
        <w:t xml:space="preserve">ons ici à structurer ce concept pour décrire plusieurs formes de rapports entre l’expérience personnelle singulière du sujet et son activité en position d’enseignant dans un espace didactique.  </w:t>
      </w:r>
    </w:p>
    <w:p w14:paraId="46AC9305" w14:textId="77777777" w:rsidR="00CE1302" w:rsidRDefault="00CE1302" w:rsidP="00CE1302">
      <w:pPr>
        <w:jc w:val="both"/>
      </w:pPr>
      <w:r>
        <w:t xml:space="preserve">Pour aborder la seconde question, </w:t>
      </w:r>
      <w:r w:rsidR="003E5927">
        <w:t>nous nous appuierons sur l’ingénierie et les pratiques de formation que nous avons contribué à élaborer pour former les stagiaires du parcours EPS du master MEEF de l’ESPE l’</w:t>
      </w:r>
      <w:r w:rsidR="00D95206">
        <w:t xml:space="preserve">académie de Caen, et plus particulièrement les tentatives d’intégration des origines expérientielles et de la dimension subjective des processus transpositifs développés par les stagiaires. Trois axes seront explicités : </w:t>
      </w:r>
      <w:r w:rsidR="00D95206" w:rsidRPr="004220F3">
        <w:rPr>
          <w:i/>
        </w:rPr>
        <w:t xml:space="preserve">1. </w:t>
      </w:r>
      <w:r w:rsidR="00043BA1" w:rsidRPr="004220F3">
        <w:rPr>
          <w:i/>
        </w:rPr>
        <w:t>L’impulsion expérientielle de la formation</w:t>
      </w:r>
      <w:r w:rsidR="00043BA1">
        <w:t> ; au travers des premières séances d’analyse des pratiques centrées sur ce que ne supporte pas et ne comprends pas le sujet en formation ; au travers de l’émergence de l’écriture de recherche centrée</w:t>
      </w:r>
      <w:r w:rsidR="007B5EBC">
        <w:t xml:space="preserve"> sur les origines expérientielles du questionnement. </w:t>
      </w:r>
      <w:r w:rsidR="007B5EBC" w:rsidRPr="007B5EBC">
        <w:rPr>
          <w:i/>
        </w:rPr>
        <w:t>2. L’expérimentation impliquée</w:t>
      </w:r>
      <w:r w:rsidR="007B5EBC">
        <w:t> ; au travers</w:t>
      </w:r>
      <w:r w:rsidR="003877BE">
        <w:t xml:space="preserve"> des formats méthodologiques spécifiques que les stagiaires sont incités à développer, en intégrant ce qu’ils éprouvent dans la conduite d’une expérimentation ; </w:t>
      </w:r>
      <w:r w:rsidR="003877BE" w:rsidRPr="003877BE">
        <w:rPr>
          <w:i/>
        </w:rPr>
        <w:t>3. La dévolution des normes au sujet </w:t>
      </w:r>
      <w:r w:rsidR="003877BE">
        <w:t>; au travers de la construction progressive d’un « itinéraire professionnel » (Le Guern et al, 2012)</w:t>
      </w:r>
      <w:r w:rsidR="000B2684">
        <w:t xml:space="preserve"> au sein duquel les stagiaires ont à se positionner non pas seulement par rapport à un référentiel imposé, mais aussi par rapport à un système de normes sous leur propre responsabilité. </w:t>
      </w:r>
    </w:p>
    <w:p w14:paraId="6591042D" w14:textId="77777777" w:rsidR="00CE32DD" w:rsidRDefault="00CE32DD" w:rsidP="00CE1302">
      <w:pPr>
        <w:jc w:val="both"/>
      </w:pPr>
      <w:r>
        <w:t>L’articulation entre les deux champs de questionnement, la recherche et la formation, permettra de conclure sur la dimension éthique de notre posture, attachée</w:t>
      </w:r>
      <w:r w:rsidR="00252BC1">
        <w:t xml:space="preserve"> à mettre au travail l’autonomie et la responsabilité du sujet dans ses propres actes. </w:t>
      </w:r>
    </w:p>
    <w:p w14:paraId="075A18A1" w14:textId="77777777" w:rsidR="00252BC1" w:rsidRDefault="00252BC1" w:rsidP="00CE1302">
      <w:pPr>
        <w:jc w:val="both"/>
      </w:pPr>
    </w:p>
    <w:p w14:paraId="266F89A5" w14:textId="77777777" w:rsidR="00252BC1" w:rsidRPr="00252BC1" w:rsidRDefault="00252BC1" w:rsidP="00CE1302">
      <w:pPr>
        <w:jc w:val="both"/>
        <w:rPr>
          <w:b/>
        </w:rPr>
      </w:pPr>
      <w:r w:rsidRPr="00252BC1">
        <w:rPr>
          <w:b/>
        </w:rPr>
        <w:t>Bibliographie</w:t>
      </w:r>
    </w:p>
    <w:p w14:paraId="2000386A" w14:textId="77777777" w:rsidR="00252BC1" w:rsidRDefault="00252BC1" w:rsidP="00252BC1">
      <w:pPr>
        <w:jc w:val="both"/>
      </w:pPr>
      <w:r>
        <w:lastRenderedPageBreak/>
        <w:t xml:space="preserve">Baillé, J. (2007). </w:t>
      </w:r>
      <w:r w:rsidRPr="0040196A">
        <w:rPr>
          <w:i/>
        </w:rPr>
        <w:t>Du mot au concept : conversion</w:t>
      </w:r>
      <w:r>
        <w:t xml:space="preserve">. Grenoble : Presses universitaires de Grenoble. </w:t>
      </w:r>
    </w:p>
    <w:p w14:paraId="4380FA32" w14:textId="77777777" w:rsidR="00252BC1" w:rsidRDefault="00252BC1" w:rsidP="00252BC1">
      <w:pPr>
        <w:jc w:val="both"/>
      </w:pPr>
      <w:r w:rsidRPr="000442BA">
        <w:t>Brousseau</w:t>
      </w:r>
      <w:r>
        <w:t xml:space="preserve"> G.</w:t>
      </w:r>
      <w:r w:rsidRPr="000442BA">
        <w:t>, Centeno,</w:t>
      </w:r>
      <w:r>
        <w:t xml:space="preserve"> J. (</w:t>
      </w:r>
      <w:r w:rsidRPr="000442BA">
        <w:t>1991</w:t>
      </w:r>
      <w:r>
        <w:t xml:space="preserve">). Rôle de la mémoire didactique de l’enseignant, </w:t>
      </w:r>
      <w:r w:rsidRPr="001803C4">
        <w:rPr>
          <w:i/>
        </w:rPr>
        <w:t>Recherches en didactique des mathématiques</w:t>
      </w:r>
      <w:r>
        <w:t>, vol. 11, n°2/3, p. 167-210.</w:t>
      </w:r>
    </w:p>
    <w:p w14:paraId="71E9D292" w14:textId="77777777" w:rsidR="00252BC1" w:rsidRDefault="00252BC1" w:rsidP="00252BC1">
      <w:pPr>
        <w:jc w:val="both"/>
        <w:rPr>
          <w:iCs/>
        </w:rPr>
      </w:pPr>
      <w:bookmarkStart w:id="0" w:name="_GoBack"/>
      <w:bookmarkEnd w:id="0"/>
      <w:r w:rsidRPr="0030500B">
        <w:rPr>
          <w:iCs/>
        </w:rPr>
        <w:t>Carnus</w:t>
      </w:r>
      <w:r>
        <w:rPr>
          <w:iCs/>
        </w:rPr>
        <w:t>,</w:t>
      </w:r>
      <w:r w:rsidRPr="0030500B">
        <w:rPr>
          <w:iCs/>
        </w:rPr>
        <w:t xml:space="preserve"> M.-F., Terrisse</w:t>
      </w:r>
      <w:r>
        <w:rPr>
          <w:iCs/>
        </w:rPr>
        <w:t>,</w:t>
      </w:r>
      <w:r w:rsidRPr="0030500B">
        <w:rPr>
          <w:iCs/>
        </w:rPr>
        <w:t xml:space="preserve"> A. (2013)</w:t>
      </w:r>
      <w:r>
        <w:rPr>
          <w:iCs/>
        </w:rPr>
        <w:t>.</w:t>
      </w:r>
      <w:r w:rsidRPr="0030500B">
        <w:rPr>
          <w:iCs/>
        </w:rPr>
        <w:t xml:space="preserve"> </w:t>
      </w:r>
      <w:r w:rsidRPr="0030500B">
        <w:rPr>
          <w:i/>
          <w:iCs/>
        </w:rPr>
        <w:t xml:space="preserve">Didactique clinique de l’EPS. </w:t>
      </w:r>
      <w:r>
        <w:rPr>
          <w:i/>
          <w:iCs/>
        </w:rPr>
        <w:t>Le sujet enseignant en question.</w:t>
      </w:r>
      <w:r>
        <w:rPr>
          <w:iCs/>
        </w:rPr>
        <w:t xml:space="preserve"> Paris :</w:t>
      </w:r>
      <w:r w:rsidRPr="0030500B">
        <w:rPr>
          <w:iCs/>
        </w:rPr>
        <w:t xml:space="preserve"> Editions Revue EPS.</w:t>
      </w:r>
    </w:p>
    <w:p w14:paraId="32401E94" w14:textId="77777777" w:rsidR="00252BC1" w:rsidRPr="008E3AEA" w:rsidRDefault="00252BC1" w:rsidP="00252BC1">
      <w:pPr>
        <w:jc w:val="both"/>
      </w:pPr>
      <w:r>
        <w:t xml:space="preserve">Freud, S. (1895/2002). </w:t>
      </w:r>
      <w:r w:rsidRPr="008E3AEA">
        <w:rPr>
          <w:i/>
        </w:rPr>
        <w:t>Eudes sur l’hystérie</w:t>
      </w:r>
      <w:r>
        <w:t xml:space="preserve">. Paris, PUF. </w:t>
      </w:r>
    </w:p>
    <w:p w14:paraId="60E1F133" w14:textId="77777777" w:rsidR="00252BC1" w:rsidRPr="004A3567" w:rsidRDefault="00252BC1" w:rsidP="00252BC1">
      <w:pPr>
        <w:jc w:val="both"/>
        <w:rPr>
          <w:iCs/>
        </w:rPr>
      </w:pPr>
      <w:r w:rsidRPr="004A3567">
        <w:rPr>
          <w:iCs/>
        </w:rPr>
        <w:t>Jourdan</w:t>
      </w:r>
      <w:r>
        <w:rPr>
          <w:iCs/>
        </w:rPr>
        <w:t>,</w:t>
      </w:r>
      <w:r w:rsidRPr="004A3567">
        <w:rPr>
          <w:iCs/>
        </w:rPr>
        <w:t xml:space="preserve"> I., Brossais</w:t>
      </w:r>
      <w:r>
        <w:rPr>
          <w:iCs/>
        </w:rPr>
        <w:t>,</w:t>
      </w:r>
      <w:r w:rsidRPr="004A3567">
        <w:rPr>
          <w:iCs/>
        </w:rPr>
        <w:t xml:space="preserve"> E. (2011)</w:t>
      </w:r>
      <w:r>
        <w:rPr>
          <w:iCs/>
        </w:rPr>
        <w:t>.</w:t>
      </w:r>
      <w:r w:rsidRPr="004A3567">
        <w:rPr>
          <w:iCs/>
        </w:rPr>
        <w:t xml:space="preserve"> Du rapport au savoir au rapport à l’épreuve. Le point de vue de deux professeurs stagiaires à l’IUFM, </w:t>
      </w:r>
      <w:r w:rsidRPr="004A3567">
        <w:rPr>
          <w:i/>
          <w:iCs/>
        </w:rPr>
        <w:t>Recherche et Formation</w:t>
      </w:r>
      <w:r w:rsidRPr="004A3567">
        <w:rPr>
          <w:iCs/>
        </w:rPr>
        <w:t xml:space="preserve">, n°66, p.9-22. </w:t>
      </w:r>
    </w:p>
    <w:p w14:paraId="56EF1EC6" w14:textId="77777777" w:rsidR="00252BC1" w:rsidRPr="00EB3823" w:rsidRDefault="00252BC1" w:rsidP="00252BC1">
      <w:pPr>
        <w:jc w:val="both"/>
        <w:rPr>
          <w:bCs/>
        </w:rPr>
      </w:pPr>
      <w:r w:rsidRPr="00EB3823">
        <w:rPr>
          <w:bCs/>
        </w:rPr>
        <w:t>Léal, Y. (201</w:t>
      </w:r>
      <w:r>
        <w:rPr>
          <w:bCs/>
        </w:rPr>
        <w:t>2</w:t>
      </w:r>
      <w:r w:rsidRPr="00EB3823">
        <w:rPr>
          <w:bCs/>
        </w:rPr>
        <w:t xml:space="preserve">). L’éducation à la santé dans un enseignement polyvalent. Une étude de cas contrastés en didactique clinique à l’école élémentaire. </w:t>
      </w:r>
      <w:r w:rsidRPr="003A4534">
        <w:rPr>
          <w:bCs/>
          <w:i/>
        </w:rPr>
        <w:t>Thèse de doctorat en sciences de l’éducation</w:t>
      </w:r>
      <w:r w:rsidRPr="00EB3823">
        <w:rPr>
          <w:bCs/>
        </w:rPr>
        <w:t xml:space="preserve">. Université Toulouse 2. </w:t>
      </w:r>
    </w:p>
    <w:p w14:paraId="2E7C6554" w14:textId="77777777" w:rsidR="00A13089" w:rsidRPr="00A13089" w:rsidRDefault="00A13089" w:rsidP="00A13089">
      <w:pPr>
        <w:jc w:val="both"/>
        <w:rPr>
          <w:bCs/>
        </w:rPr>
      </w:pPr>
      <w:r>
        <w:rPr>
          <w:bCs/>
        </w:rPr>
        <w:t xml:space="preserve">Le Guern A.-L., Thémines J.-F., Wittorski R. (2012). </w:t>
      </w:r>
      <w:r w:rsidRPr="00A13089">
        <w:rPr>
          <w:bCs/>
        </w:rPr>
        <w:t>Conclusion gén</w:t>
      </w:r>
      <w:r>
        <w:rPr>
          <w:bCs/>
        </w:rPr>
        <w:t xml:space="preserve">érale, </w:t>
      </w:r>
      <w:r w:rsidRPr="00A13089">
        <w:rPr>
          <w:bCs/>
        </w:rPr>
        <w:t>In</w:t>
      </w:r>
      <w:r>
        <w:rPr>
          <w:bCs/>
        </w:rPr>
        <w:t xml:space="preserve"> </w:t>
      </w:r>
      <w:r w:rsidRPr="00A13089">
        <w:rPr>
          <w:bCs/>
        </w:rPr>
        <w:t>Bailleul M., Thémines J.-F., Wittorski R. (</w:t>
      </w:r>
      <w:proofErr w:type="spellStart"/>
      <w:r>
        <w:rPr>
          <w:bCs/>
        </w:rPr>
        <w:t>dir</w:t>
      </w:r>
      <w:proofErr w:type="spellEnd"/>
      <w:r>
        <w:rPr>
          <w:bCs/>
        </w:rPr>
        <w:t>.</w:t>
      </w:r>
      <w:r w:rsidRPr="00A13089">
        <w:rPr>
          <w:bCs/>
        </w:rPr>
        <w:t xml:space="preserve">). </w:t>
      </w:r>
      <w:r w:rsidRPr="00A13089">
        <w:rPr>
          <w:bCs/>
          <w:i/>
        </w:rPr>
        <w:t>Expériences et développement professionnel des enseignants : formation, travail, itinéraire professionnel</w:t>
      </w:r>
      <w:r w:rsidRPr="00A13089">
        <w:rPr>
          <w:bCs/>
        </w:rPr>
        <w:t xml:space="preserve">. Toulouse, </w:t>
      </w:r>
      <w:proofErr w:type="spellStart"/>
      <w:r w:rsidRPr="00A13089">
        <w:rPr>
          <w:bCs/>
        </w:rPr>
        <w:t>Octarès</w:t>
      </w:r>
      <w:proofErr w:type="spellEnd"/>
      <w:r w:rsidRPr="00A13089">
        <w:rPr>
          <w:bCs/>
        </w:rPr>
        <w:t>.</w:t>
      </w:r>
    </w:p>
    <w:p w14:paraId="7548015B" w14:textId="77777777" w:rsidR="00252BC1" w:rsidRDefault="00252BC1" w:rsidP="00252BC1">
      <w:pPr>
        <w:jc w:val="both"/>
        <w:rPr>
          <w:bCs/>
        </w:rPr>
      </w:pPr>
      <w:r w:rsidRPr="003A4534">
        <w:rPr>
          <w:bCs/>
        </w:rPr>
        <w:t xml:space="preserve">Touboul, A. (2011). Les effets de l’expérience et de l’expertise dans les pratiques enseignantes en EPS. Etude didactique clinique en Savate Boxe Française. </w:t>
      </w:r>
      <w:r w:rsidRPr="003A4534">
        <w:rPr>
          <w:bCs/>
          <w:i/>
        </w:rPr>
        <w:t>Thèse de doctorat en sciences de l’éducation</w:t>
      </w:r>
      <w:r w:rsidRPr="003A4534">
        <w:rPr>
          <w:bCs/>
        </w:rPr>
        <w:t xml:space="preserve">. Université Toulouse 2. </w:t>
      </w:r>
    </w:p>
    <w:p w14:paraId="666908F3" w14:textId="77777777" w:rsidR="00252BC1" w:rsidRDefault="00252BC1" w:rsidP="00CE1302">
      <w:pPr>
        <w:jc w:val="both"/>
      </w:pPr>
    </w:p>
    <w:p w14:paraId="66894D15" w14:textId="77777777" w:rsidR="000E23F7" w:rsidRDefault="000E23F7" w:rsidP="00CE1302">
      <w:pPr>
        <w:jc w:val="both"/>
      </w:pPr>
    </w:p>
    <w:sectPr w:rsidR="000E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B3"/>
    <w:rsid w:val="00043BA1"/>
    <w:rsid w:val="000571F3"/>
    <w:rsid w:val="000B2684"/>
    <w:rsid w:val="000E23F7"/>
    <w:rsid w:val="001E02EC"/>
    <w:rsid w:val="00252BC1"/>
    <w:rsid w:val="00363511"/>
    <w:rsid w:val="00380228"/>
    <w:rsid w:val="003877BE"/>
    <w:rsid w:val="003E5927"/>
    <w:rsid w:val="004220F3"/>
    <w:rsid w:val="00515CAA"/>
    <w:rsid w:val="005E2EAE"/>
    <w:rsid w:val="00625992"/>
    <w:rsid w:val="00665E64"/>
    <w:rsid w:val="006F6DD2"/>
    <w:rsid w:val="007B5EBC"/>
    <w:rsid w:val="007B7390"/>
    <w:rsid w:val="00805148"/>
    <w:rsid w:val="00846E4F"/>
    <w:rsid w:val="00A13089"/>
    <w:rsid w:val="00B24178"/>
    <w:rsid w:val="00C46B04"/>
    <w:rsid w:val="00CE1302"/>
    <w:rsid w:val="00CE32DD"/>
    <w:rsid w:val="00D37426"/>
    <w:rsid w:val="00D95206"/>
    <w:rsid w:val="00E82FA6"/>
    <w:rsid w:val="00EA1CB3"/>
    <w:rsid w:val="00F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825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04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04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3979</Characters>
  <Application>Microsoft Macintosh Word</Application>
  <DocSecurity>0</DocSecurity>
  <Lines>33</Lines>
  <Paragraphs>9</Paragraphs>
  <ScaleCrop>false</ScaleCrop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LOIZON Anaïs</cp:lastModifiedBy>
  <cp:revision>3</cp:revision>
  <dcterms:created xsi:type="dcterms:W3CDTF">2016-02-01T10:44:00Z</dcterms:created>
  <dcterms:modified xsi:type="dcterms:W3CDTF">2016-02-01T10:45:00Z</dcterms:modified>
</cp:coreProperties>
</file>