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78" w:rsidRPr="00C35AA0" w:rsidRDefault="00341978" w:rsidP="00341978">
      <w:pPr>
        <w:shd w:val="clear" w:color="auto" w:fill="FFFFFF"/>
        <w:jc w:val="center"/>
        <w:rPr>
          <w:color w:val="212121"/>
          <w:szCs w:val="23"/>
        </w:rPr>
      </w:pPr>
      <w:r w:rsidRPr="00C35AA0">
        <w:rPr>
          <w:rFonts w:cs="Arial"/>
          <w:b/>
          <w:bCs/>
          <w:color w:val="212121"/>
          <w:szCs w:val="26"/>
        </w:rPr>
        <w:t>Symposium "Prévention des di</w:t>
      </w:r>
      <w:r>
        <w:rPr>
          <w:rFonts w:cs="Arial"/>
          <w:b/>
          <w:bCs/>
          <w:color w:val="212121"/>
          <w:szCs w:val="26"/>
        </w:rPr>
        <w:t>scriminations ethnoraciales et é</w:t>
      </w:r>
      <w:r w:rsidRPr="00C35AA0">
        <w:rPr>
          <w:rFonts w:cs="Arial"/>
          <w:b/>
          <w:bCs/>
          <w:color w:val="212121"/>
          <w:szCs w:val="26"/>
        </w:rPr>
        <w:t>ducation à la diversité  : pratiques, outils de l'école, des structures éducatives et des familles "</w:t>
      </w:r>
    </w:p>
    <w:p w:rsidR="00126058" w:rsidRPr="00D95335" w:rsidRDefault="00126058" w:rsidP="00126058">
      <w:pPr>
        <w:rPr>
          <w:rFonts w:asciiTheme="majorHAnsi" w:eastAsia="Times New Roman" w:hAnsiTheme="majorHAnsi" w:cs="Times New Roman"/>
          <w:szCs w:val="20"/>
        </w:rPr>
      </w:pPr>
    </w:p>
    <w:p w:rsidR="00126058" w:rsidRPr="00D95335" w:rsidRDefault="00126058">
      <w:pPr>
        <w:rPr>
          <w:rFonts w:asciiTheme="majorHAnsi" w:hAnsiTheme="majorHAnsi"/>
        </w:rPr>
      </w:pPr>
    </w:p>
    <w:p w:rsidR="007D7B48" w:rsidRDefault="00212D51" w:rsidP="00D95335">
      <w:pPr>
        <w:jc w:val="center"/>
        <w:rPr>
          <w:rFonts w:asciiTheme="majorHAnsi" w:hAnsiTheme="majorHAnsi" w:cs="Times New Roman"/>
          <w:b/>
        </w:rPr>
      </w:pPr>
      <w:r w:rsidRPr="00D95335">
        <w:rPr>
          <w:rFonts w:asciiTheme="majorHAnsi" w:hAnsiTheme="majorHAnsi" w:cs="Times New Roman"/>
          <w:b/>
        </w:rPr>
        <w:t>Sortir du silence des institutions</w:t>
      </w:r>
      <w:r w:rsidR="00D95335">
        <w:rPr>
          <w:rFonts w:asciiTheme="majorHAnsi" w:hAnsiTheme="majorHAnsi" w:cs="Times New Roman"/>
          <w:b/>
        </w:rPr>
        <w:t> :</w:t>
      </w:r>
      <w:r w:rsidR="00D85F29" w:rsidRPr="00D95335">
        <w:rPr>
          <w:rFonts w:asciiTheme="majorHAnsi" w:hAnsiTheme="majorHAnsi" w:cs="Times New Roman"/>
          <w:b/>
        </w:rPr>
        <w:t xml:space="preserve"> </w:t>
      </w:r>
      <w:r w:rsidR="00126058" w:rsidRPr="00D95335">
        <w:rPr>
          <w:rFonts w:asciiTheme="majorHAnsi" w:hAnsiTheme="majorHAnsi" w:cs="Times New Roman"/>
          <w:b/>
        </w:rPr>
        <w:t xml:space="preserve"> la double discrimination subie par les enfants </w:t>
      </w:r>
    </w:p>
    <w:p w:rsidR="00126058" w:rsidRPr="00D95335" w:rsidRDefault="00126058" w:rsidP="00D95335">
      <w:pPr>
        <w:jc w:val="center"/>
        <w:rPr>
          <w:rFonts w:asciiTheme="majorHAnsi" w:hAnsiTheme="majorHAnsi" w:cs="Times New Roman"/>
          <w:b/>
        </w:rPr>
      </w:pPr>
      <w:r w:rsidRPr="00D95335">
        <w:rPr>
          <w:rFonts w:asciiTheme="majorHAnsi" w:hAnsiTheme="majorHAnsi" w:cs="Times New Roman"/>
          <w:b/>
        </w:rPr>
        <w:t>confiés à l’aide sociale à l’enfance</w:t>
      </w:r>
      <w:r w:rsidR="00D95335">
        <w:rPr>
          <w:rFonts w:asciiTheme="majorHAnsi" w:hAnsiTheme="majorHAnsi" w:cs="Times New Roman"/>
          <w:b/>
        </w:rPr>
        <w:t>.</w:t>
      </w:r>
    </w:p>
    <w:p w:rsidR="003F7414" w:rsidRPr="00D95335" w:rsidRDefault="003F7414" w:rsidP="003F7414">
      <w:pPr>
        <w:jc w:val="both"/>
        <w:rPr>
          <w:rFonts w:asciiTheme="majorHAnsi" w:eastAsia="Times New Roman" w:hAnsiTheme="majorHAnsi" w:cs="Times New Roman"/>
          <w:color w:val="444444"/>
          <w:szCs w:val="19"/>
          <w:shd w:val="clear" w:color="auto" w:fill="FFFFFF"/>
        </w:rPr>
      </w:pPr>
    </w:p>
    <w:p w:rsidR="002C0DD0" w:rsidRDefault="00126058" w:rsidP="00EC5E8F">
      <w:pPr>
        <w:jc w:val="both"/>
        <w:rPr>
          <w:rFonts w:asciiTheme="majorHAnsi" w:hAnsiTheme="majorHAnsi" w:cs="Times New Roman"/>
        </w:rPr>
      </w:pPr>
      <w:r w:rsidRPr="00D95335">
        <w:rPr>
          <w:rFonts w:asciiTheme="majorHAnsi" w:hAnsiTheme="majorHAnsi" w:cs="Times New Roman"/>
        </w:rPr>
        <w:t xml:space="preserve">Si la protection de l’enfance concerne </w:t>
      </w:r>
      <w:r w:rsidR="004774C2" w:rsidRPr="00D95335">
        <w:rPr>
          <w:rFonts w:asciiTheme="majorHAnsi" w:hAnsiTheme="majorHAnsi" w:cs="Times New Roman"/>
        </w:rPr>
        <w:t xml:space="preserve">tous </w:t>
      </w:r>
      <w:r w:rsidRPr="00D95335">
        <w:rPr>
          <w:rFonts w:asciiTheme="majorHAnsi" w:hAnsiTheme="majorHAnsi" w:cs="Times New Roman"/>
        </w:rPr>
        <w:t>les milieux, les études montrent néanmoins une surreprésentation dans les familles concernées des classes populaires d’une part et des m</w:t>
      </w:r>
      <w:r w:rsidR="002C0DD0">
        <w:rPr>
          <w:rFonts w:asciiTheme="majorHAnsi" w:hAnsiTheme="majorHAnsi" w:cs="Times New Roman"/>
        </w:rPr>
        <w:t xml:space="preserve">inorités visibles d’autre part </w:t>
      </w:r>
      <w:r w:rsidR="00321523" w:rsidRPr="00D95335">
        <w:rPr>
          <w:rFonts w:asciiTheme="majorHAnsi" w:hAnsiTheme="majorHAnsi" w:cs="Times New Roman"/>
        </w:rPr>
        <w:t>(</w:t>
      </w:r>
      <w:r w:rsidR="002B7711" w:rsidRPr="00D95335">
        <w:rPr>
          <w:rFonts w:asciiTheme="majorHAnsi" w:hAnsiTheme="majorHAnsi" w:cs="Times New Roman"/>
        </w:rPr>
        <w:t>Gheorghiu</w:t>
      </w:r>
      <w:r w:rsidR="00A43BA3" w:rsidRPr="00D95335">
        <w:rPr>
          <w:rFonts w:asciiTheme="majorHAnsi" w:hAnsiTheme="majorHAnsi" w:cs="Times New Roman"/>
        </w:rPr>
        <w:t xml:space="preserve"> et al.</w:t>
      </w:r>
      <w:r w:rsidR="002B7711" w:rsidRPr="00D95335">
        <w:rPr>
          <w:rFonts w:asciiTheme="majorHAnsi" w:hAnsiTheme="majorHAnsi" w:cs="Times New Roman"/>
        </w:rPr>
        <w:t>, 2002 </w:t>
      </w:r>
      <w:r w:rsidR="002B7711" w:rsidRPr="00D95335">
        <w:rPr>
          <w:rFonts w:asciiTheme="majorHAnsi" w:hAnsiTheme="majorHAnsi" w:cs="Times New Roman"/>
          <w:bCs/>
          <w:color w:val="000000"/>
          <w:szCs w:val="20"/>
        </w:rPr>
        <w:t xml:space="preserve">; </w:t>
      </w:r>
      <w:r w:rsidRPr="00D95335">
        <w:rPr>
          <w:rFonts w:asciiTheme="majorHAnsi" w:hAnsiTheme="majorHAnsi" w:cs="Times New Roman"/>
        </w:rPr>
        <w:t>Serre,</w:t>
      </w:r>
      <w:r w:rsidR="00321523" w:rsidRPr="00D95335">
        <w:rPr>
          <w:rFonts w:asciiTheme="majorHAnsi" w:hAnsiTheme="majorHAnsi" w:cs="Times New Roman"/>
        </w:rPr>
        <w:t xml:space="preserve"> 2009). </w:t>
      </w:r>
      <w:r w:rsidRPr="00D95335">
        <w:rPr>
          <w:rFonts w:asciiTheme="majorHAnsi" w:hAnsiTheme="majorHAnsi" w:cs="Times New Roman"/>
        </w:rPr>
        <w:t>Cette surreprésentation des milieux populaires</w:t>
      </w:r>
      <w:r w:rsidR="00321523" w:rsidRPr="00D95335">
        <w:rPr>
          <w:rFonts w:asciiTheme="majorHAnsi" w:hAnsiTheme="majorHAnsi" w:cs="Times New Roman"/>
        </w:rPr>
        <w:t xml:space="preserve"> et des familles ayant connu </w:t>
      </w:r>
      <w:r w:rsidR="00551D12" w:rsidRPr="00D95335">
        <w:rPr>
          <w:rFonts w:asciiTheme="majorHAnsi" w:hAnsiTheme="majorHAnsi" w:cs="Times New Roman"/>
        </w:rPr>
        <w:t xml:space="preserve">un </w:t>
      </w:r>
      <w:r w:rsidR="00321523" w:rsidRPr="00D95335">
        <w:rPr>
          <w:rFonts w:asciiTheme="majorHAnsi" w:hAnsiTheme="majorHAnsi" w:cs="Times New Roman"/>
        </w:rPr>
        <w:t xml:space="preserve">parcours migratoire peut avoir plusieurs causes : un lien ancien entre migration et protection de l’enfance lié au passé colonial, </w:t>
      </w:r>
      <w:r w:rsidRPr="00D95335">
        <w:rPr>
          <w:rFonts w:asciiTheme="majorHAnsi" w:hAnsiTheme="majorHAnsi" w:cs="Times New Roman"/>
        </w:rPr>
        <w:t>un contrôle social accru qui pèse sur ces familles</w:t>
      </w:r>
      <w:r w:rsidR="00EC5E8F" w:rsidRPr="00D95335">
        <w:rPr>
          <w:rFonts w:asciiTheme="majorHAnsi" w:hAnsiTheme="majorHAnsi" w:cs="Times New Roman"/>
        </w:rPr>
        <w:t xml:space="preserve"> ou encore </w:t>
      </w:r>
      <w:r w:rsidR="00321523" w:rsidRPr="00D95335">
        <w:rPr>
          <w:rFonts w:asciiTheme="majorHAnsi" w:hAnsiTheme="majorHAnsi" w:cs="Times New Roman"/>
        </w:rPr>
        <w:t xml:space="preserve">la fragilisation des liens familiaux </w:t>
      </w:r>
      <w:r w:rsidR="00EC5E8F" w:rsidRPr="00D95335">
        <w:rPr>
          <w:rFonts w:asciiTheme="majorHAnsi" w:hAnsiTheme="majorHAnsi" w:cs="Times New Roman"/>
        </w:rPr>
        <w:t xml:space="preserve">induites par les </w:t>
      </w:r>
      <w:r w:rsidR="00321523" w:rsidRPr="00D95335">
        <w:rPr>
          <w:rFonts w:asciiTheme="majorHAnsi" w:hAnsiTheme="majorHAnsi" w:cs="Times New Roman"/>
        </w:rPr>
        <w:t>expériences migratoires.</w:t>
      </w:r>
      <w:r w:rsidR="00EC5E8F" w:rsidRPr="00D95335">
        <w:rPr>
          <w:rFonts w:asciiTheme="majorHAnsi" w:hAnsiTheme="majorHAnsi" w:cs="Times New Roman"/>
        </w:rPr>
        <w:t xml:space="preserve"> </w:t>
      </w:r>
      <w:r w:rsidR="00321523" w:rsidRPr="00D95335">
        <w:rPr>
          <w:rFonts w:asciiTheme="majorHAnsi" w:hAnsiTheme="majorHAnsi" w:cs="Times New Roman"/>
        </w:rPr>
        <w:t xml:space="preserve">Pourtant il s’agit rarement d’une donnée interrogée </w:t>
      </w:r>
      <w:r w:rsidR="00551D12" w:rsidRPr="00D95335">
        <w:rPr>
          <w:rFonts w:asciiTheme="majorHAnsi" w:hAnsiTheme="majorHAnsi" w:cs="Times New Roman"/>
        </w:rPr>
        <w:t xml:space="preserve">et ce, </w:t>
      </w:r>
      <w:r w:rsidR="00321523" w:rsidRPr="00D95335">
        <w:rPr>
          <w:rFonts w:asciiTheme="majorHAnsi" w:hAnsiTheme="majorHAnsi" w:cs="Times New Roman"/>
        </w:rPr>
        <w:t xml:space="preserve">dans les institutions </w:t>
      </w:r>
      <w:r w:rsidR="00921D73" w:rsidRPr="00D95335">
        <w:rPr>
          <w:rFonts w:asciiTheme="majorHAnsi" w:hAnsiTheme="majorHAnsi" w:cs="Times New Roman"/>
        </w:rPr>
        <w:t xml:space="preserve">socio-éducatives </w:t>
      </w:r>
      <w:r w:rsidR="00321523" w:rsidRPr="00D95335">
        <w:rPr>
          <w:rFonts w:asciiTheme="majorHAnsi" w:hAnsiTheme="majorHAnsi" w:cs="Times New Roman"/>
        </w:rPr>
        <w:t xml:space="preserve">comme dans les recherches. </w:t>
      </w:r>
      <w:r w:rsidR="00D85F29" w:rsidRPr="00D95335">
        <w:rPr>
          <w:rFonts w:asciiTheme="majorHAnsi" w:hAnsiTheme="majorHAnsi" w:cs="Times New Roman"/>
        </w:rPr>
        <w:t>Il y a sans doute une double peur autour de ce silence des institutions : d’une part celle de stigmatiser encore davantage la population des en</w:t>
      </w:r>
      <w:bookmarkStart w:id="0" w:name="_GoBack"/>
      <w:bookmarkEnd w:id="0"/>
      <w:r w:rsidR="00D85F29" w:rsidRPr="00D95335">
        <w:rPr>
          <w:rFonts w:asciiTheme="majorHAnsi" w:hAnsiTheme="majorHAnsi" w:cs="Times New Roman"/>
        </w:rPr>
        <w:t>fants protégés en soulignant d’autres traits qui les discrimineraient, d’autre part celle de rompre à leur encontre avec le principe de l’égalité républicaine, perçu comme le garant institutionnel d’une juste place sociale, malgré un parcours encore jugé marginal. Aussi il n’existe pas à c</w:t>
      </w:r>
      <w:r w:rsidR="00921D73" w:rsidRPr="00D95335">
        <w:rPr>
          <w:rFonts w:asciiTheme="majorHAnsi" w:hAnsiTheme="majorHAnsi" w:cs="Times New Roman"/>
        </w:rPr>
        <w:t xml:space="preserve">e jour d’outils autour de la </w:t>
      </w:r>
      <w:r w:rsidR="00D85F29" w:rsidRPr="00D95335">
        <w:rPr>
          <w:rFonts w:asciiTheme="majorHAnsi" w:hAnsiTheme="majorHAnsi" w:cs="Times New Roman"/>
        </w:rPr>
        <w:t>prévention</w:t>
      </w:r>
      <w:r w:rsidR="00921D73" w:rsidRPr="00D95335">
        <w:rPr>
          <w:rFonts w:asciiTheme="majorHAnsi" w:hAnsiTheme="majorHAnsi" w:cs="Times New Roman"/>
        </w:rPr>
        <w:t xml:space="preserve"> des discriminations</w:t>
      </w:r>
      <w:r w:rsidR="00D85F29" w:rsidRPr="00D95335">
        <w:rPr>
          <w:rFonts w:asciiTheme="majorHAnsi" w:hAnsiTheme="majorHAnsi" w:cs="Times New Roman"/>
        </w:rPr>
        <w:t xml:space="preserve">. Les pratiques elles-mêmes ne font pas l’objet d’études spécifiques, et encore moins de recommandations. </w:t>
      </w:r>
    </w:p>
    <w:p w:rsidR="002C0DD0" w:rsidRDefault="002C0DD0" w:rsidP="00EC5E8F">
      <w:pPr>
        <w:jc w:val="both"/>
        <w:rPr>
          <w:rFonts w:asciiTheme="majorHAnsi" w:hAnsiTheme="majorHAnsi" w:cs="Times New Roman"/>
        </w:rPr>
      </w:pPr>
    </w:p>
    <w:p w:rsidR="00EC5E8F" w:rsidRPr="00D95335" w:rsidRDefault="00D85F29" w:rsidP="00EC5E8F">
      <w:pPr>
        <w:jc w:val="both"/>
        <w:rPr>
          <w:rFonts w:asciiTheme="majorHAnsi" w:hAnsiTheme="majorHAnsi" w:cs="Times New Roman"/>
        </w:rPr>
      </w:pPr>
      <w:r w:rsidRPr="00D95335">
        <w:rPr>
          <w:rFonts w:asciiTheme="majorHAnsi" w:hAnsiTheme="majorHAnsi" w:cs="Times New Roman"/>
        </w:rPr>
        <w:t xml:space="preserve">C’est pourquoi nous proposons de présenter, en amont de toute prévention, les résultats d’une recherche qui a fait émerger ces problématiques, sans qu’elles aient été d’ailleurs ciblées au départ. La méthode mise en œuvre, </w:t>
      </w:r>
      <w:r w:rsidR="00DD137D" w:rsidRPr="00D95335">
        <w:rPr>
          <w:rFonts w:asciiTheme="majorHAnsi" w:hAnsiTheme="majorHAnsi" w:cs="Times New Roman"/>
        </w:rPr>
        <w:t xml:space="preserve">celle d’une </w:t>
      </w:r>
      <w:r w:rsidRPr="00D95335">
        <w:rPr>
          <w:rFonts w:asciiTheme="majorHAnsi" w:hAnsiTheme="majorHAnsi" w:cs="Times New Roman"/>
        </w:rPr>
        <w:t xml:space="preserve">approche par les pairs, explique l’émergence de ces problématiques laissées jusque-là dans l’ombre. Dans le cadre de cette recherche, </w:t>
      </w:r>
      <w:r w:rsidR="00321523" w:rsidRPr="00D95335">
        <w:rPr>
          <w:rFonts w:asciiTheme="majorHAnsi" w:hAnsiTheme="majorHAnsi" w:cs="Times New Roman"/>
        </w:rPr>
        <w:t>conduit</w:t>
      </w:r>
      <w:r w:rsidR="00B30FD8" w:rsidRPr="00D95335">
        <w:rPr>
          <w:rFonts w:asciiTheme="majorHAnsi" w:hAnsiTheme="majorHAnsi" w:cs="Times New Roman"/>
        </w:rPr>
        <w:t>e</w:t>
      </w:r>
      <w:r w:rsidR="00321523" w:rsidRPr="00D95335">
        <w:rPr>
          <w:rFonts w:asciiTheme="majorHAnsi" w:hAnsiTheme="majorHAnsi" w:cs="Times New Roman"/>
        </w:rPr>
        <w:t xml:space="preserve"> </w:t>
      </w:r>
      <w:r w:rsidRPr="00D95335">
        <w:rPr>
          <w:rFonts w:asciiTheme="majorHAnsi" w:hAnsiTheme="majorHAnsi" w:cs="Times New Roman"/>
        </w:rPr>
        <w:t>de 2012 à 2015 en Ile de France,</w:t>
      </w:r>
      <w:r w:rsidR="00321523" w:rsidRPr="00D95335">
        <w:rPr>
          <w:rFonts w:asciiTheme="majorHAnsi" w:hAnsiTheme="majorHAnsi" w:cs="Times New Roman"/>
        </w:rPr>
        <w:t xml:space="preserve"> 14 jeunes enquêteurs de 18 à 29 ans ayant eux même connus une expérience de placement et pour 12 d’entre eux issus des minorités visibles sont all</w:t>
      </w:r>
      <w:r w:rsidR="00551D12" w:rsidRPr="00D95335">
        <w:rPr>
          <w:rFonts w:asciiTheme="majorHAnsi" w:hAnsiTheme="majorHAnsi" w:cs="Times New Roman"/>
        </w:rPr>
        <w:t>es</w:t>
      </w:r>
      <w:r w:rsidR="00321523" w:rsidRPr="00D95335">
        <w:rPr>
          <w:rFonts w:asciiTheme="majorHAnsi" w:hAnsiTheme="majorHAnsi" w:cs="Times New Roman"/>
        </w:rPr>
        <w:t xml:space="preserve"> à la rencontre de 36 jeunes</w:t>
      </w:r>
      <w:r w:rsidR="009E36F3" w:rsidRPr="00D95335">
        <w:rPr>
          <w:rFonts w:asciiTheme="majorHAnsi" w:hAnsiTheme="majorHAnsi" w:cs="Times New Roman"/>
        </w:rPr>
        <w:t xml:space="preserve"> passés par l’aide sociale à l’enfance, âgés</w:t>
      </w:r>
      <w:r w:rsidR="00321523" w:rsidRPr="00D95335">
        <w:rPr>
          <w:rFonts w:asciiTheme="majorHAnsi" w:hAnsiTheme="majorHAnsi" w:cs="Times New Roman"/>
        </w:rPr>
        <w:t xml:space="preserve"> de 16 à 26 ans dont les 2/3 étaient également issus des minorités visibles</w:t>
      </w:r>
      <w:r w:rsidR="00F41B32" w:rsidRPr="00D95335">
        <w:rPr>
          <w:rFonts w:asciiTheme="majorHAnsi" w:hAnsiTheme="majorHAnsi" w:cs="Times New Roman"/>
        </w:rPr>
        <w:t>,</w:t>
      </w:r>
      <w:r w:rsidR="001E251B" w:rsidRPr="00D95335">
        <w:rPr>
          <w:rFonts w:asciiTheme="majorHAnsi" w:hAnsiTheme="majorHAnsi" w:cs="Times New Roman"/>
        </w:rPr>
        <w:t xml:space="preserve"> sur la question de la transition à l’âge adulte</w:t>
      </w:r>
      <w:r w:rsidR="00F41B32" w:rsidRPr="00D95335">
        <w:rPr>
          <w:rFonts w:asciiTheme="majorHAnsi" w:hAnsiTheme="majorHAnsi" w:cs="Times New Roman"/>
        </w:rPr>
        <w:t xml:space="preserve"> après une mesure de placement</w:t>
      </w:r>
      <w:r w:rsidR="00321523" w:rsidRPr="00D95335">
        <w:rPr>
          <w:rFonts w:asciiTheme="majorHAnsi" w:hAnsiTheme="majorHAnsi" w:cs="Times New Roman"/>
        </w:rPr>
        <w:t xml:space="preserve">. </w:t>
      </w:r>
      <w:r w:rsidR="00921D73" w:rsidRPr="00D95335">
        <w:rPr>
          <w:rFonts w:asciiTheme="majorHAnsi" w:hAnsiTheme="majorHAnsi" w:cs="Times New Roman"/>
        </w:rPr>
        <w:t>L</w:t>
      </w:r>
      <w:r w:rsidR="00321523" w:rsidRPr="00D95335">
        <w:rPr>
          <w:rFonts w:asciiTheme="majorHAnsi" w:hAnsiTheme="majorHAnsi" w:cs="Times New Roman"/>
        </w:rPr>
        <w:t xml:space="preserve">a </w:t>
      </w:r>
      <w:r w:rsidR="00921D73" w:rsidRPr="00D95335">
        <w:rPr>
          <w:rFonts w:asciiTheme="majorHAnsi" w:hAnsiTheme="majorHAnsi" w:cs="Times New Roman"/>
        </w:rPr>
        <w:t xml:space="preserve">situation d’enquête entre pairs, </w:t>
      </w:r>
      <w:r w:rsidR="001E251B" w:rsidRPr="00D95335">
        <w:rPr>
          <w:rFonts w:asciiTheme="majorHAnsi" w:hAnsiTheme="majorHAnsi" w:cs="Times New Roman"/>
        </w:rPr>
        <w:t xml:space="preserve">et l’interrogation des parcours </w:t>
      </w:r>
      <w:r w:rsidR="00321523" w:rsidRPr="00D95335">
        <w:rPr>
          <w:rFonts w:asciiTheme="majorHAnsi" w:hAnsiTheme="majorHAnsi" w:cs="Times New Roman"/>
        </w:rPr>
        <w:t xml:space="preserve">au regard de multiples variables de sexe, d’âge, d’orientation sexuelle, de race, a </w:t>
      </w:r>
      <w:r w:rsidR="001E251B" w:rsidRPr="00D95335">
        <w:rPr>
          <w:rFonts w:asciiTheme="majorHAnsi" w:hAnsiTheme="majorHAnsi" w:cs="Times New Roman"/>
        </w:rPr>
        <w:t>permis d’attirer</w:t>
      </w:r>
      <w:r w:rsidR="00EC5E8F" w:rsidRPr="00D95335">
        <w:rPr>
          <w:rFonts w:asciiTheme="majorHAnsi" w:hAnsiTheme="majorHAnsi" w:cs="Times New Roman"/>
        </w:rPr>
        <w:t xml:space="preserve"> l’attention sur les doubles discriminations (dans la famille d’accueil et dans la famille d’origine) que peuvent </w:t>
      </w:r>
      <w:r w:rsidRPr="00D95335">
        <w:rPr>
          <w:rFonts w:asciiTheme="majorHAnsi" w:hAnsiTheme="majorHAnsi" w:cs="Times New Roman"/>
        </w:rPr>
        <w:t>su</w:t>
      </w:r>
      <w:r w:rsidR="001E251B" w:rsidRPr="00D95335">
        <w:rPr>
          <w:rFonts w:asciiTheme="majorHAnsi" w:hAnsiTheme="majorHAnsi" w:cs="Times New Roman"/>
        </w:rPr>
        <w:t>bir les jeunes pris en charge. Les résultats</w:t>
      </w:r>
      <w:r w:rsidRPr="00D95335">
        <w:rPr>
          <w:rFonts w:asciiTheme="majorHAnsi" w:hAnsiTheme="majorHAnsi" w:cs="Times New Roman"/>
        </w:rPr>
        <w:t xml:space="preserve"> montre</w:t>
      </w:r>
      <w:r w:rsidR="001E251B" w:rsidRPr="00D95335">
        <w:rPr>
          <w:rFonts w:asciiTheme="majorHAnsi" w:hAnsiTheme="majorHAnsi" w:cs="Times New Roman"/>
        </w:rPr>
        <w:t>nt</w:t>
      </w:r>
      <w:r w:rsidRPr="00D95335">
        <w:rPr>
          <w:rFonts w:asciiTheme="majorHAnsi" w:hAnsiTheme="majorHAnsi" w:cs="Times New Roman"/>
        </w:rPr>
        <w:t xml:space="preserve"> aussi comment, dans l’expérience des jeunes, les différentes instances (école, famille) confortent et renforcent certaines discriminations</w:t>
      </w:r>
      <w:r w:rsidR="002B7711" w:rsidRPr="00D95335">
        <w:rPr>
          <w:rFonts w:asciiTheme="majorHAnsi" w:hAnsiTheme="majorHAnsi" w:cs="Times New Roman"/>
        </w:rPr>
        <w:t xml:space="preserve"> (Dubet</w:t>
      </w:r>
      <w:r w:rsidR="00A43BA3" w:rsidRPr="00D95335">
        <w:rPr>
          <w:rFonts w:asciiTheme="majorHAnsi" w:hAnsiTheme="majorHAnsi" w:cs="Times New Roman"/>
        </w:rPr>
        <w:t xml:space="preserve"> et al.</w:t>
      </w:r>
      <w:r w:rsidR="002B7711" w:rsidRPr="00D95335">
        <w:rPr>
          <w:rFonts w:asciiTheme="majorHAnsi" w:hAnsiTheme="majorHAnsi" w:cs="Times New Roman"/>
        </w:rPr>
        <w:t>, 2013)</w:t>
      </w:r>
      <w:r w:rsidRPr="00D95335">
        <w:rPr>
          <w:rFonts w:asciiTheme="majorHAnsi" w:hAnsiTheme="majorHAnsi" w:cs="Times New Roman"/>
        </w:rPr>
        <w:t xml:space="preserve">. </w:t>
      </w:r>
      <w:r w:rsidR="001E251B" w:rsidRPr="00D95335">
        <w:rPr>
          <w:rFonts w:asciiTheme="majorHAnsi" w:hAnsiTheme="majorHAnsi" w:cs="Times New Roman"/>
        </w:rPr>
        <w:t xml:space="preserve">Ils </w:t>
      </w:r>
      <w:r w:rsidRPr="00D95335">
        <w:rPr>
          <w:rFonts w:asciiTheme="majorHAnsi" w:hAnsiTheme="majorHAnsi" w:cs="Times New Roman"/>
        </w:rPr>
        <w:t>souligne</w:t>
      </w:r>
      <w:r w:rsidR="001E251B" w:rsidRPr="00D95335">
        <w:rPr>
          <w:rFonts w:asciiTheme="majorHAnsi" w:hAnsiTheme="majorHAnsi" w:cs="Times New Roman"/>
        </w:rPr>
        <w:t>nt</w:t>
      </w:r>
      <w:r w:rsidRPr="00D95335">
        <w:rPr>
          <w:rFonts w:asciiTheme="majorHAnsi" w:hAnsiTheme="majorHAnsi" w:cs="Times New Roman"/>
        </w:rPr>
        <w:t xml:space="preserve"> </w:t>
      </w:r>
      <w:r w:rsidR="00DD137D" w:rsidRPr="00D95335">
        <w:rPr>
          <w:rFonts w:asciiTheme="majorHAnsi" w:hAnsiTheme="majorHAnsi" w:cs="Times New Roman"/>
        </w:rPr>
        <w:t xml:space="preserve">enfin </w:t>
      </w:r>
      <w:r w:rsidR="00921D73" w:rsidRPr="00D95335">
        <w:rPr>
          <w:rFonts w:asciiTheme="majorHAnsi" w:hAnsiTheme="majorHAnsi" w:cs="Times New Roman"/>
        </w:rPr>
        <w:t>les discriminations liées à la</w:t>
      </w:r>
      <w:r w:rsidR="00DD137D" w:rsidRPr="00D95335">
        <w:rPr>
          <w:rFonts w:asciiTheme="majorHAnsi" w:hAnsiTheme="majorHAnsi" w:cs="Times New Roman"/>
        </w:rPr>
        <w:t xml:space="preserve"> transgression identitaire dans le cadre d’une expérience de déplacement social</w:t>
      </w:r>
      <w:r w:rsidR="00F41B32" w:rsidRPr="00D95335">
        <w:rPr>
          <w:rFonts w:asciiTheme="majorHAnsi" w:hAnsiTheme="majorHAnsi" w:cs="Times New Roman"/>
        </w:rPr>
        <w:t xml:space="preserve"> et une identité impossible, propre au </w:t>
      </w:r>
      <w:r w:rsidR="00F41B32" w:rsidRPr="00D95335">
        <w:rPr>
          <w:rFonts w:asciiTheme="majorHAnsi" w:hAnsiTheme="majorHAnsi" w:cs="Times New Roman"/>
          <w:i/>
        </w:rPr>
        <w:t>passing</w:t>
      </w:r>
      <w:r w:rsidR="00EC5E8F" w:rsidRPr="00D95335">
        <w:rPr>
          <w:rFonts w:asciiTheme="majorHAnsi" w:hAnsiTheme="majorHAnsi" w:cs="Times New Roman"/>
        </w:rPr>
        <w:t xml:space="preserve">. </w:t>
      </w:r>
      <w:r w:rsidR="00921D73" w:rsidRPr="00D95335">
        <w:rPr>
          <w:rFonts w:asciiTheme="majorHAnsi" w:hAnsiTheme="majorHAnsi" w:cs="Times New Roman"/>
        </w:rPr>
        <w:t xml:space="preserve">Les résultats montrant </w:t>
      </w:r>
      <w:r w:rsidR="00B62E58" w:rsidRPr="00D95335">
        <w:rPr>
          <w:rFonts w:asciiTheme="majorHAnsi" w:hAnsiTheme="majorHAnsi" w:cs="Times New Roman"/>
        </w:rPr>
        <w:t xml:space="preserve">donc </w:t>
      </w:r>
      <w:r w:rsidR="00921D73" w:rsidRPr="00D95335">
        <w:rPr>
          <w:rFonts w:asciiTheme="majorHAnsi" w:hAnsiTheme="majorHAnsi" w:cs="Times New Roman"/>
        </w:rPr>
        <w:t>l’importance de mettre davan</w:t>
      </w:r>
      <w:r w:rsidR="00B62E58" w:rsidRPr="00D95335">
        <w:rPr>
          <w:rFonts w:asciiTheme="majorHAnsi" w:hAnsiTheme="majorHAnsi" w:cs="Times New Roman"/>
        </w:rPr>
        <w:t>tage à jour ces discriminations. L</w:t>
      </w:r>
      <w:r w:rsidR="00921D73" w:rsidRPr="00D95335">
        <w:rPr>
          <w:rFonts w:asciiTheme="majorHAnsi" w:hAnsiTheme="majorHAnsi" w:cs="Times New Roman"/>
        </w:rPr>
        <w:t xml:space="preserve">’équipe de recherche se mobilise actuellement sur un nouveau projet, davantage centré sur ces questions </w:t>
      </w:r>
      <w:r w:rsidR="00B62E58" w:rsidRPr="00D95335">
        <w:rPr>
          <w:rFonts w:asciiTheme="majorHAnsi" w:hAnsiTheme="majorHAnsi" w:cs="Times New Roman"/>
        </w:rPr>
        <w:t xml:space="preserve">et </w:t>
      </w:r>
      <w:r w:rsidR="00921D73" w:rsidRPr="00D95335">
        <w:rPr>
          <w:rFonts w:asciiTheme="majorHAnsi" w:hAnsiTheme="majorHAnsi" w:cs="Times New Roman"/>
        </w:rPr>
        <w:t xml:space="preserve">qui vise à développer </w:t>
      </w:r>
      <w:r w:rsidR="00EC5E8F" w:rsidRPr="00D95335">
        <w:rPr>
          <w:rFonts w:asciiTheme="majorHAnsi" w:hAnsiTheme="majorHAnsi" w:cs="Times New Roman"/>
        </w:rPr>
        <w:t>avec les professionnel</w:t>
      </w:r>
      <w:r w:rsidR="009A5B97" w:rsidRPr="00D95335">
        <w:rPr>
          <w:rFonts w:asciiTheme="majorHAnsi" w:hAnsiTheme="majorHAnsi" w:cs="Times New Roman"/>
        </w:rPr>
        <w:t>s des outils de prévention de c</w:t>
      </w:r>
      <w:r w:rsidR="00EC5E8F" w:rsidRPr="00D95335">
        <w:rPr>
          <w:rFonts w:asciiTheme="majorHAnsi" w:hAnsiTheme="majorHAnsi" w:cs="Times New Roman"/>
        </w:rPr>
        <w:t>es situations.</w:t>
      </w:r>
    </w:p>
    <w:p w:rsidR="00126058" w:rsidRPr="00D95335" w:rsidRDefault="009A5B97" w:rsidP="009A5B97">
      <w:pPr>
        <w:jc w:val="both"/>
        <w:rPr>
          <w:rFonts w:asciiTheme="majorHAnsi" w:hAnsiTheme="majorHAnsi" w:cs="Times New Roman"/>
        </w:rPr>
      </w:pPr>
      <w:r w:rsidRPr="00D95335">
        <w:rPr>
          <w:rFonts w:asciiTheme="majorHAnsi" w:hAnsiTheme="majorHAnsi" w:cs="Times New Roman"/>
        </w:rPr>
        <w:t>Nous comprendrons ici les inégalités sous l’angle du passage entre des mondes sociaux (même si celui-ci est contraint), et de l’interdit de la transgression identitaire (Jacquet, 2014).</w:t>
      </w:r>
    </w:p>
    <w:p w:rsidR="003F7414" w:rsidRPr="00D95335" w:rsidRDefault="003F7414" w:rsidP="003F7414">
      <w:pPr>
        <w:pStyle w:val="Notedebasdepage"/>
        <w:rPr>
          <w:rFonts w:asciiTheme="majorHAnsi" w:hAnsiTheme="majorHAnsi"/>
          <w:szCs w:val="20"/>
        </w:rPr>
      </w:pPr>
    </w:p>
    <w:p w:rsidR="00D95335" w:rsidRDefault="00D95335" w:rsidP="003F7414">
      <w:pPr>
        <w:pStyle w:val="Notedebasdepage"/>
        <w:rPr>
          <w:rFonts w:asciiTheme="majorHAnsi" w:hAnsiTheme="majorHAnsi"/>
          <w:b/>
          <w:szCs w:val="20"/>
        </w:rPr>
      </w:pPr>
    </w:p>
    <w:p w:rsidR="00D95335" w:rsidRDefault="00D95335" w:rsidP="003F7414">
      <w:pPr>
        <w:pStyle w:val="Notedebasdepage"/>
        <w:rPr>
          <w:rFonts w:asciiTheme="majorHAnsi" w:hAnsiTheme="majorHAnsi"/>
          <w:b/>
          <w:szCs w:val="20"/>
        </w:rPr>
      </w:pPr>
    </w:p>
    <w:p w:rsidR="003F7414" w:rsidRPr="00D95335" w:rsidRDefault="003F7414" w:rsidP="003F7414">
      <w:pPr>
        <w:pStyle w:val="Notedebasdepage"/>
        <w:rPr>
          <w:rFonts w:asciiTheme="majorHAnsi" w:hAnsiTheme="majorHAnsi"/>
          <w:b/>
          <w:szCs w:val="20"/>
        </w:rPr>
      </w:pPr>
      <w:r w:rsidRPr="00D95335">
        <w:rPr>
          <w:rFonts w:asciiTheme="majorHAnsi" w:hAnsiTheme="majorHAnsi"/>
          <w:b/>
          <w:szCs w:val="20"/>
        </w:rPr>
        <w:t>Références bibliographiques</w:t>
      </w:r>
    </w:p>
    <w:p w:rsidR="003F7414" w:rsidRPr="00D95335" w:rsidRDefault="00B618F3" w:rsidP="003F7414">
      <w:pPr>
        <w:pStyle w:val="Notedebasdepage"/>
        <w:rPr>
          <w:rFonts w:asciiTheme="majorHAnsi" w:hAnsiTheme="majorHAnsi"/>
          <w:szCs w:val="20"/>
        </w:rPr>
      </w:pPr>
      <w:hyperlink r:id="rId8" w:history="1">
        <w:r w:rsidR="003F7414" w:rsidRPr="00D95335">
          <w:rPr>
            <w:rFonts w:asciiTheme="majorHAnsi" w:hAnsiTheme="majorHAnsi"/>
            <w:szCs w:val="20"/>
          </w:rPr>
          <w:t>Dubet</w:t>
        </w:r>
      </w:hyperlink>
      <w:r w:rsidR="003F7414" w:rsidRPr="00D95335">
        <w:rPr>
          <w:rFonts w:asciiTheme="majorHAnsi" w:hAnsiTheme="majorHAnsi"/>
          <w:szCs w:val="20"/>
        </w:rPr>
        <w:t>, F., </w:t>
      </w:r>
      <w:hyperlink r:id="rId9" w:history="1">
        <w:r w:rsidR="003F7414" w:rsidRPr="00D95335">
          <w:rPr>
            <w:rFonts w:asciiTheme="majorHAnsi" w:hAnsiTheme="majorHAnsi"/>
            <w:szCs w:val="20"/>
          </w:rPr>
          <w:t> Cousin</w:t>
        </w:r>
      </w:hyperlink>
      <w:r w:rsidR="003F7414" w:rsidRPr="00D95335">
        <w:rPr>
          <w:rFonts w:asciiTheme="majorHAnsi" w:hAnsiTheme="majorHAnsi"/>
          <w:szCs w:val="20"/>
        </w:rPr>
        <w:t>, O., </w:t>
      </w:r>
      <w:hyperlink r:id="rId10" w:history="1">
        <w:r w:rsidR="003F7414" w:rsidRPr="00D95335">
          <w:rPr>
            <w:rFonts w:asciiTheme="majorHAnsi" w:hAnsiTheme="majorHAnsi"/>
            <w:szCs w:val="20"/>
          </w:rPr>
          <w:t> Macé</w:t>
        </w:r>
      </w:hyperlink>
      <w:r w:rsidR="001B5A96">
        <w:rPr>
          <w:rFonts w:asciiTheme="majorHAnsi" w:hAnsiTheme="majorHAnsi"/>
          <w:szCs w:val="20"/>
        </w:rPr>
        <w:t>, E. et</w:t>
      </w:r>
      <w:r w:rsidR="003F7414" w:rsidRPr="00D95335">
        <w:rPr>
          <w:rFonts w:asciiTheme="majorHAnsi" w:hAnsiTheme="majorHAnsi"/>
          <w:szCs w:val="20"/>
        </w:rPr>
        <w:t> </w:t>
      </w:r>
      <w:hyperlink r:id="rId11" w:history="1">
        <w:r w:rsidR="003F7414" w:rsidRPr="00D95335">
          <w:rPr>
            <w:rFonts w:asciiTheme="majorHAnsi" w:hAnsiTheme="majorHAnsi"/>
            <w:szCs w:val="20"/>
          </w:rPr>
          <w:t>Rui</w:t>
        </w:r>
      </w:hyperlink>
      <w:r w:rsidR="003F7414" w:rsidRPr="00D95335">
        <w:rPr>
          <w:rFonts w:asciiTheme="majorHAnsi" w:hAnsiTheme="majorHAnsi"/>
          <w:szCs w:val="20"/>
        </w:rPr>
        <w:t>, S. (2013).</w:t>
      </w:r>
      <w:r w:rsidR="00B30FD8" w:rsidRPr="00D95335">
        <w:rPr>
          <w:rFonts w:asciiTheme="majorHAnsi" w:hAnsiTheme="majorHAnsi"/>
          <w:szCs w:val="20"/>
        </w:rPr>
        <w:t xml:space="preserve"> </w:t>
      </w:r>
      <w:r w:rsidR="003F7414" w:rsidRPr="00D95335">
        <w:rPr>
          <w:rFonts w:asciiTheme="majorHAnsi" w:hAnsiTheme="majorHAnsi"/>
          <w:i/>
          <w:szCs w:val="20"/>
        </w:rPr>
        <w:t>Pourquoi moi ? L'expérience des discriminations</w:t>
      </w:r>
      <w:r w:rsidR="00D95335">
        <w:rPr>
          <w:rFonts w:asciiTheme="majorHAnsi" w:hAnsiTheme="majorHAnsi"/>
          <w:szCs w:val="20"/>
        </w:rPr>
        <w:t xml:space="preserve">. </w:t>
      </w:r>
      <w:r w:rsidR="003F7414" w:rsidRPr="00D95335">
        <w:rPr>
          <w:rFonts w:asciiTheme="majorHAnsi" w:hAnsiTheme="majorHAnsi"/>
          <w:szCs w:val="20"/>
        </w:rPr>
        <w:t>Paris : Éditions du Seuil.</w:t>
      </w:r>
    </w:p>
    <w:p w:rsidR="003F7414" w:rsidRPr="00D95335" w:rsidRDefault="003F7414" w:rsidP="009A5B97">
      <w:pPr>
        <w:jc w:val="both"/>
        <w:rPr>
          <w:rFonts w:asciiTheme="majorHAnsi" w:hAnsiTheme="majorHAnsi" w:cs="Times New Roman"/>
          <w:bCs/>
          <w:color w:val="000000"/>
          <w:szCs w:val="20"/>
        </w:rPr>
      </w:pPr>
      <w:r w:rsidRPr="00D95335">
        <w:rPr>
          <w:rFonts w:asciiTheme="majorHAnsi" w:hAnsiTheme="majorHAnsi" w:cs="Times New Roman"/>
          <w:bCs/>
          <w:color w:val="000000"/>
          <w:szCs w:val="20"/>
        </w:rPr>
        <w:t>Gheorghiu, M., Labache, L., Legrand, L. et al., (2002). Rapport final de la recherche longitudinale sur le devenir des personnes sorties de l’ASE en Seine-</w:t>
      </w:r>
      <w:r w:rsidR="00D95335">
        <w:rPr>
          <w:rFonts w:asciiTheme="majorHAnsi" w:hAnsiTheme="majorHAnsi" w:cs="Times New Roman"/>
          <w:bCs/>
          <w:color w:val="000000"/>
          <w:szCs w:val="20"/>
        </w:rPr>
        <w:t xml:space="preserve">Saint-Denis entre 1980 et 2000. </w:t>
      </w:r>
      <w:r w:rsidRPr="00D95335">
        <w:rPr>
          <w:rFonts w:asciiTheme="majorHAnsi" w:hAnsiTheme="majorHAnsi" w:cs="Times New Roman"/>
          <w:bCs/>
          <w:color w:val="000000"/>
          <w:szCs w:val="20"/>
        </w:rPr>
        <w:t>Bobigny, juin 2002.</w:t>
      </w:r>
    </w:p>
    <w:p w:rsidR="003F7414" w:rsidRPr="00D95335" w:rsidRDefault="001B5A96" w:rsidP="003F7414">
      <w:pPr>
        <w:pStyle w:val="Notedebasdepage"/>
        <w:rPr>
          <w:rFonts w:asciiTheme="majorHAnsi" w:hAnsiTheme="majorHAnsi"/>
          <w:i/>
          <w:szCs w:val="20"/>
        </w:rPr>
      </w:pPr>
      <w:r>
        <w:rPr>
          <w:rFonts w:asciiTheme="majorHAnsi" w:hAnsiTheme="majorHAnsi"/>
          <w:szCs w:val="20"/>
        </w:rPr>
        <w:t xml:space="preserve">Jaquet, J. (2014). </w:t>
      </w:r>
      <w:r w:rsidR="003F7414" w:rsidRPr="00D95335">
        <w:rPr>
          <w:rFonts w:asciiTheme="majorHAnsi" w:hAnsiTheme="majorHAnsi"/>
          <w:i/>
          <w:szCs w:val="20"/>
        </w:rPr>
        <w:t>Les transclassses ou la non-reproduction</w:t>
      </w:r>
      <w:r w:rsidR="003F7414" w:rsidRPr="00D95335">
        <w:rPr>
          <w:rFonts w:asciiTheme="majorHAnsi" w:hAnsiTheme="majorHAnsi"/>
          <w:szCs w:val="20"/>
        </w:rPr>
        <w:t>, Paris : PUF</w:t>
      </w:r>
      <w:r w:rsidR="003F7414" w:rsidRPr="00D95335">
        <w:rPr>
          <w:rFonts w:asciiTheme="majorHAnsi" w:hAnsiTheme="majorHAnsi"/>
          <w:i/>
          <w:szCs w:val="20"/>
        </w:rPr>
        <w:t>.</w:t>
      </w:r>
    </w:p>
    <w:p w:rsidR="003F7414" w:rsidRPr="00D95335" w:rsidRDefault="003F7414" w:rsidP="009A5B97">
      <w:pPr>
        <w:jc w:val="both"/>
        <w:rPr>
          <w:rFonts w:asciiTheme="majorHAnsi" w:eastAsia="Times New Roman" w:hAnsiTheme="majorHAnsi" w:cs="Times New Roman"/>
          <w:color w:val="444444"/>
          <w:szCs w:val="19"/>
          <w:shd w:val="clear" w:color="auto" w:fill="FFFFFF"/>
        </w:rPr>
      </w:pPr>
      <w:r w:rsidRPr="00D95335">
        <w:rPr>
          <w:rFonts w:asciiTheme="majorHAnsi" w:hAnsiTheme="majorHAnsi" w:cs="Times New Roman"/>
          <w:bCs/>
          <w:color w:val="000000"/>
          <w:szCs w:val="20"/>
        </w:rPr>
        <w:t xml:space="preserve">Serre, D. (2009). </w:t>
      </w:r>
      <w:r w:rsidRPr="00D95335">
        <w:rPr>
          <w:rFonts w:asciiTheme="majorHAnsi" w:hAnsiTheme="majorHAnsi" w:cs="Times New Roman"/>
          <w:bCs/>
          <w:i/>
          <w:color w:val="000000"/>
          <w:szCs w:val="20"/>
        </w:rPr>
        <w:t>Les coulisses de l’Etat social</w:t>
      </w:r>
      <w:r w:rsidR="00D95335">
        <w:rPr>
          <w:rFonts w:asciiTheme="majorHAnsi" w:hAnsiTheme="majorHAnsi" w:cs="Times New Roman"/>
          <w:bCs/>
          <w:color w:val="000000"/>
          <w:szCs w:val="20"/>
        </w:rPr>
        <w:t xml:space="preserve">. </w:t>
      </w:r>
      <w:r w:rsidRPr="00D95335">
        <w:rPr>
          <w:rFonts w:asciiTheme="majorHAnsi" w:hAnsiTheme="majorHAnsi" w:cs="Times New Roman"/>
          <w:bCs/>
          <w:color w:val="000000"/>
          <w:szCs w:val="20"/>
        </w:rPr>
        <w:t>Paris : Raison d’agir.</w:t>
      </w:r>
    </w:p>
    <w:p w:rsidR="009A5B97" w:rsidRPr="00D95335" w:rsidRDefault="009A5B97" w:rsidP="003F7414">
      <w:pPr>
        <w:rPr>
          <w:rFonts w:asciiTheme="majorHAnsi" w:eastAsia="Times New Roman" w:hAnsiTheme="majorHAnsi" w:cs="Times New Roman"/>
          <w:color w:val="444444"/>
          <w:szCs w:val="19"/>
        </w:rPr>
      </w:pPr>
    </w:p>
    <w:p w:rsidR="009A5B97" w:rsidRPr="00D95335" w:rsidRDefault="009A5B97" w:rsidP="009A5B97">
      <w:pPr>
        <w:ind w:left="180"/>
        <w:rPr>
          <w:rFonts w:asciiTheme="majorHAnsi" w:eastAsia="Times New Roman" w:hAnsiTheme="majorHAnsi" w:cs="Times New Roman"/>
          <w:color w:val="444444"/>
          <w:szCs w:val="19"/>
        </w:rPr>
      </w:pPr>
    </w:p>
    <w:p w:rsidR="00126058" w:rsidRPr="00D95335" w:rsidRDefault="003F7414" w:rsidP="003F7414">
      <w:pPr>
        <w:jc w:val="both"/>
        <w:rPr>
          <w:rFonts w:asciiTheme="majorHAnsi" w:hAnsiTheme="majorHAnsi" w:cs="Times New Roman"/>
        </w:rPr>
      </w:pPr>
      <w:r w:rsidRPr="00D95335">
        <w:rPr>
          <w:rFonts w:asciiTheme="majorHAnsi" w:hAnsiTheme="majorHAnsi" w:cs="Times New Roman"/>
          <w:b/>
        </w:rPr>
        <w:t>Mots clés :</w:t>
      </w:r>
      <w:r w:rsidRPr="00D95335">
        <w:rPr>
          <w:rFonts w:asciiTheme="majorHAnsi" w:hAnsiTheme="majorHAnsi" w:cs="Times New Roman"/>
        </w:rPr>
        <w:t xml:space="preserve"> Discrimination, identité, </w:t>
      </w:r>
      <w:r w:rsidR="00D85F29" w:rsidRPr="00D95335">
        <w:rPr>
          <w:rFonts w:asciiTheme="majorHAnsi" w:hAnsiTheme="majorHAnsi" w:cs="Times New Roman"/>
        </w:rPr>
        <w:t>aide sociale à l’enfance</w:t>
      </w:r>
      <w:r w:rsidRPr="00D95335">
        <w:rPr>
          <w:rFonts w:asciiTheme="majorHAnsi" w:hAnsiTheme="majorHAnsi" w:cs="Times New Roman"/>
        </w:rPr>
        <w:t xml:space="preserve">, enfance </w:t>
      </w:r>
    </w:p>
    <w:p w:rsidR="003F7414" w:rsidRPr="00D95335" w:rsidRDefault="003F7414" w:rsidP="003F7414">
      <w:pPr>
        <w:jc w:val="both"/>
        <w:rPr>
          <w:rFonts w:asciiTheme="majorHAnsi" w:hAnsiTheme="majorHAnsi" w:cs="Times New Roman"/>
        </w:rPr>
      </w:pPr>
    </w:p>
    <w:p w:rsidR="003F7414" w:rsidRPr="00D95335" w:rsidRDefault="00D95335" w:rsidP="003F7414">
      <w:pPr>
        <w:jc w:val="both"/>
        <w:rPr>
          <w:rFonts w:asciiTheme="majorHAnsi" w:hAnsiTheme="majorHAnsi" w:cs="Times New Roman"/>
          <w:b/>
        </w:rPr>
      </w:pPr>
      <w:r w:rsidRPr="00D95335">
        <w:rPr>
          <w:rFonts w:asciiTheme="majorHAnsi" w:hAnsiTheme="majorHAnsi" w:cs="Times New Roman"/>
          <w:b/>
        </w:rPr>
        <w:t>Auteures</w:t>
      </w:r>
    </w:p>
    <w:p w:rsidR="003F7414" w:rsidRPr="00D95335" w:rsidRDefault="003F7414" w:rsidP="003F7414">
      <w:pPr>
        <w:jc w:val="both"/>
        <w:rPr>
          <w:rFonts w:asciiTheme="majorHAnsi" w:hAnsiTheme="majorHAnsi" w:cs="Times New Roman"/>
        </w:rPr>
      </w:pPr>
    </w:p>
    <w:p w:rsidR="00A43BA3" w:rsidRPr="00D95335" w:rsidRDefault="003F7414" w:rsidP="003F7414">
      <w:pPr>
        <w:jc w:val="both"/>
        <w:rPr>
          <w:rFonts w:asciiTheme="majorHAnsi" w:hAnsiTheme="majorHAnsi" w:cs="Times New Roman"/>
        </w:rPr>
      </w:pPr>
      <w:r w:rsidRPr="00D95335">
        <w:rPr>
          <w:rFonts w:asciiTheme="majorHAnsi" w:hAnsiTheme="majorHAnsi" w:cs="Times New Roman"/>
        </w:rPr>
        <w:t>Pierrine Robin et Marie-Pierre Mackiewicz, MCF en sciences de l’éducation, UPEC</w:t>
      </w:r>
    </w:p>
    <w:p w:rsidR="00FD1135" w:rsidRDefault="00A43BA3" w:rsidP="003F7414">
      <w:pPr>
        <w:jc w:val="both"/>
        <w:rPr>
          <w:rFonts w:asciiTheme="majorHAnsi" w:hAnsiTheme="majorHAnsi" w:cs="Calibri"/>
          <w:szCs w:val="26"/>
        </w:rPr>
      </w:pPr>
      <w:r w:rsidRPr="00D95335">
        <w:rPr>
          <w:rFonts w:asciiTheme="majorHAnsi" w:hAnsiTheme="majorHAnsi" w:cs="Calibri"/>
          <w:szCs w:val="26"/>
        </w:rPr>
        <w:t xml:space="preserve">Laboratoire LIRTES axe 4 </w:t>
      </w:r>
    </w:p>
    <w:p w:rsidR="00FD1135" w:rsidRDefault="00A43BA3" w:rsidP="003F7414">
      <w:pPr>
        <w:jc w:val="both"/>
        <w:rPr>
          <w:rFonts w:asciiTheme="majorHAnsi" w:hAnsiTheme="majorHAnsi" w:cs="Calibri"/>
          <w:szCs w:val="26"/>
        </w:rPr>
      </w:pPr>
      <w:r w:rsidRPr="00D95335">
        <w:rPr>
          <w:rFonts w:asciiTheme="majorHAnsi" w:hAnsiTheme="majorHAnsi" w:cs="Calibri"/>
          <w:szCs w:val="26"/>
        </w:rPr>
        <w:t>Observatoire Universitaire Education et Prévention (OUIEP)</w:t>
      </w:r>
    </w:p>
    <w:p w:rsidR="003F7414" w:rsidRPr="00D95335" w:rsidRDefault="00FD1135" w:rsidP="003F7414">
      <w:pPr>
        <w:jc w:val="both"/>
        <w:rPr>
          <w:rFonts w:asciiTheme="majorHAnsi" w:hAnsiTheme="majorHAnsi" w:cs="Times New Roman"/>
        </w:rPr>
      </w:pPr>
      <w:r>
        <w:rPr>
          <w:rFonts w:asciiTheme="majorHAnsi" w:hAnsiTheme="majorHAnsi" w:cs="Times New Roman"/>
        </w:rPr>
        <w:t>pierrine.robin@u-pec.fr</w:t>
      </w:r>
    </w:p>
    <w:p w:rsidR="00126058" w:rsidRPr="00D95335" w:rsidRDefault="00126058" w:rsidP="00126058">
      <w:pPr>
        <w:ind w:left="180"/>
        <w:rPr>
          <w:rFonts w:asciiTheme="majorHAnsi" w:eastAsia="Times New Roman" w:hAnsiTheme="majorHAnsi" w:cs="Times New Roman"/>
          <w:color w:val="444444"/>
          <w:szCs w:val="19"/>
          <w:shd w:val="clear" w:color="auto" w:fill="FFFFFF"/>
        </w:rPr>
      </w:pPr>
    </w:p>
    <w:p w:rsidR="003F7414" w:rsidRPr="00D95335" w:rsidRDefault="003F7414" w:rsidP="00D95335">
      <w:pPr>
        <w:pStyle w:val="Paragraphedeliste"/>
        <w:numPr>
          <w:ilvl w:val="0"/>
          <w:numId w:val="3"/>
        </w:numPr>
        <w:jc w:val="both"/>
        <w:rPr>
          <w:rFonts w:asciiTheme="majorHAnsi" w:hAnsiTheme="majorHAnsi" w:cs="Times New Roman"/>
        </w:rPr>
      </w:pPr>
      <w:r w:rsidRPr="00D95335">
        <w:rPr>
          <w:rFonts w:asciiTheme="majorHAnsi" w:hAnsiTheme="majorHAnsi" w:cs="Times New Roman"/>
        </w:rPr>
        <w:t>Pierrine Robin, Marie-Pierre Mackiewicz et al.</w:t>
      </w:r>
      <w:r w:rsidR="00D95335" w:rsidRPr="00D95335">
        <w:rPr>
          <w:rFonts w:asciiTheme="majorHAnsi" w:hAnsiTheme="majorHAnsi" w:cs="Times New Roman"/>
        </w:rPr>
        <w:t xml:space="preserve"> (</w:t>
      </w:r>
      <w:r w:rsidRPr="00D95335">
        <w:rPr>
          <w:rFonts w:asciiTheme="majorHAnsi" w:hAnsiTheme="majorHAnsi" w:cs="Times New Roman"/>
        </w:rPr>
        <w:t>2015</w:t>
      </w:r>
      <w:r w:rsidR="00D95335" w:rsidRPr="00D95335">
        <w:rPr>
          <w:rFonts w:asciiTheme="majorHAnsi" w:hAnsiTheme="majorHAnsi" w:cs="Times New Roman"/>
        </w:rPr>
        <w:t xml:space="preserve">). </w:t>
      </w:r>
      <w:r w:rsidRPr="00D95335">
        <w:rPr>
          <w:rFonts w:asciiTheme="majorHAnsi" w:hAnsiTheme="majorHAnsi" w:cs="Times New Roman"/>
        </w:rPr>
        <w:t xml:space="preserve">Une recherche par les pairs en protection de l’enfance pour renouveller les formes de connaissance en contexte de disqualification, Les recherches actions collaboratives, une révolution de la connaissance, les chercheurs ignorants, (dir), </w:t>
      </w:r>
      <w:r w:rsidR="00D95335" w:rsidRPr="00D95335">
        <w:rPr>
          <w:rFonts w:asciiTheme="majorHAnsi" w:hAnsiTheme="majorHAnsi" w:cs="Times New Roman"/>
        </w:rPr>
        <w:t>Paris : Presses de l’EHSP, p. 138-146.</w:t>
      </w:r>
    </w:p>
    <w:p w:rsidR="003F7414" w:rsidRPr="00D95335" w:rsidRDefault="003F7414" w:rsidP="003F7414">
      <w:pPr>
        <w:jc w:val="both"/>
        <w:rPr>
          <w:rFonts w:asciiTheme="majorHAnsi" w:hAnsiTheme="majorHAnsi" w:cs="Times New Roman"/>
        </w:rPr>
      </w:pPr>
    </w:p>
    <w:p w:rsidR="003F7414" w:rsidRPr="00D95335" w:rsidRDefault="003F7414" w:rsidP="00D95335">
      <w:pPr>
        <w:pStyle w:val="Paragraphedeliste"/>
        <w:numPr>
          <w:ilvl w:val="0"/>
          <w:numId w:val="3"/>
        </w:numPr>
        <w:jc w:val="both"/>
        <w:rPr>
          <w:rFonts w:asciiTheme="majorHAnsi" w:hAnsiTheme="majorHAnsi" w:cs="Times New Roman"/>
        </w:rPr>
      </w:pPr>
      <w:r w:rsidRPr="00D95335">
        <w:rPr>
          <w:rFonts w:asciiTheme="majorHAnsi" w:hAnsiTheme="majorHAnsi" w:cs="Times New Roman"/>
        </w:rPr>
        <w:t>Pierrine Robin, Marie-Pierre Mackiewicz et al</w:t>
      </w:r>
      <w:r w:rsidR="00D95335" w:rsidRPr="00D95335">
        <w:rPr>
          <w:rFonts w:asciiTheme="majorHAnsi" w:hAnsiTheme="majorHAnsi" w:cs="Times New Roman"/>
        </w:rPr>
        <w:t xml:space="preserve">. (2015). </w:t>
      </w:r>
      <w:r w:rsidRPr="00D95335">
        <w:rPr>
          <w:rFonts w:asciiTheme="majorHAnsi" w:hAnsiTheme="majorHAnsi" w:cs="Times New Roman"/>
        </w:rPr>
        <w:t>Une recherche par les pairs en protection de l’enfance : l’aventure humaine et sensible d’acteurs hybrides en transformation, Les recherches actions collaboratives, une révolution de la connaissance, l</w:t>
      </w:r>
      <w:r w:rsidR="00D95335" w:rsidRPr="00D95335">
        <w:rPr>
          <w:rFonts w:asciiTheme="majorHAnsi" w:hAnsiTheme="majorHAnsi" w:cs="Times New Roman"/>
        </w:rPr>
        <w:t xml:space="preserve">es chercheurs ignorants, (dir). Paris : </w:t>
      </w:r>
      <w:r w:rsidRPr="00D95335">
        <w:rPr>
          <w:rFonts w:asciiTheme="majorHAnsi" w:hAnsiTheme="majorHAnsi" w:cs="Times New Roman"/>
        </w:rPr>
        <w:t>Presses de l’EHSP, p. 246-255</w:t>
      </w:r>
      <w:r w:rsidR="00D95335" w:rsidRPr="00D95335">
        <w:rPr>
          <w:rFonts w:asciiTheme="majorHAnsi" w:hAnsiTheme="majorHAnsi" w:cs="Times New Roman"/>
        </w:rPr>
        <w:t>.</w:t>
      </w:r>
      <w:r w:rsidRPr="00D95335">
        <w:rPr>
          <w:rFonts w:asciiTheme="majorHAnsi" w:hAnsiTheme="majorHAnsi" w:cs="Times New Roman"/>
        </w:rPr>
        <w:t xml:space="preserve"> </w:t>
      </w:r>
    </w:p>
    <w:p w:rsidR="003F7414" w:rsidRPr="00D95335" w:rsidRDefault="003F7414" w:rsidP="003F7414">
      <w:pPr>
        <w:jc w:val="both"/>
        <w:rPr>
          <w:rFonts w:asciiTheme="majorHAnsi" w:hAnsiTheme="majorHAnsi" w:cs="Times New Roman"/>
        </w:rPr>
      </w:pPr>
    </w:p>
    <w:p w:rsidR="003F7414" w:rsidRPr="00D95335" w:rsidRDefault="003F7414" w:rsidP="00D95335">
      <w:pPr>
        <w:pStyle w:val="Paragraphedeliste"/>
        <w:numPr>
          <w:ilvl w:val="0"/>
          <w:numId w:val="3"/>
        </w:numPr>
        <w:jc w:val="both"/>
        <w:rPr>
          <w:rFonts w:asciiTheme="majorHAnsi" w:hAnsiTheme="majorHAnsi" w:cs="Times New Roman"/>
        </w:rPr>
      </w:pPr>
      <w:r w:rsidRPr="00D95335">
        <w:rPr>
          <w:rFonts w:asciiTheme="majorHAnsi" w:hAnsiTheme="majorHAnsi" w:cs="Times New Roman"/>
        </w:rPr>
        <w:t>Pierrine Robin, Marie-Pierre Mackiewicz et al</w:t>
      </w:r>
      <w:r w:rsidR="00D95335" w:rsidRPr="00D95335">
        <w:rPr>
          <w:rFonts w:asciiTheme="majorHAnsi" w:hAnsiTheme="majorHAnsi" w:cs="Times New Roman"/>
        </w:rPr>
        <w:t xml:space="preserve"> (2015). </w:t>
      </w:r>
      <w:r w:rsidRPr="00D95335">
        <w:rPr>
          <w:rFonts w:asciiTheme="majorHAnsi" w:hAnsiTheme="majorHAnsi" w:cs="Times New Roman"/>
        </w:rPr>
        <w:t>Le « lost in translation » ou les supports d’identificatoires en protection de l’enfance, vus au travers d’une recherche par les pairs, Carl Lacharité, Catherine Sellenet et Claire Chamberland, La protection de l’enfance, la parole des enfants et des parents</w:t>
      </w:r>
      <w:r w:rsidR="00D95335" w:rsidRPr="00D95335">
        <w:rPr>
          <w:rFonts w:asciiTheme="majorHAnsi" w:hAnsiTheme="majorHAnsi" w:cs="Times New Roman"/>
        </w:rPr>
        <w:t xml:space="preserve">. </w:t>
      </w:r>
      <w:r w:rsidRPr="00D95335">
        <w:rPr>
          <w:rFonts w:asciiTheme="majorHAnsi" w:hAnsiTheme="majorHAnsi" w:cs="Times New Roman"/>
        </w:rPr>
        <w:t>Québec</w:t>
      </w:r>
      <w:r w:rsidR="00D95335" w:rsidRPr="00D95335">
        <w:rPr>
          <w:rFonts w:asciiTheme="majorHAnsi" w:hAnsiTheme="majorHAnsi" w:cs="Times New Roman"/>
        </w:rPr>
        <w:t xml:space="preserve"> /</w:t>
      </w:r>
      <w:r w:rsidRPr="00D95335">
        <w:rPr>
          <w:rFonts w:asciiTheme="majorHAnsi" w:hAnsiTheme="majorHAnsi" w:cs="Times New Roman"/>
        </w:rPr>
        <w:t xml:space="preserve"> Presses Universitaires du Québec, p. 65-76. </w:t>
      </w:r>
    </w:p>
    <w:p w:rsidR="00D85F29" w:rsidRPr="00D95335" w:rsidRDefault="00D85F29" w:rsidP="00D85F29">
      <w:pPr>
        <w:rPr>
          <w:rFonts w:asciiTheme="majorHAnsi" w:hAnsiTheme="majorHAnsi" w:cs="Times New Roman"/>
        </w:rPr>
      </w:pPr>
    </w:p>
    <w:sectPr w:rsidR="00D85F29" w:rsidRPr="00D95335" w:rsidSect="00BB7687">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96" w:rsidRDefault="001B5A96" w:rsidP="00126058">
      <w:r>
        <w:separator/>
      </w:r>
    </w:p>
  </w:endnote>
  <w:endnote w:type="continuationSeparator" w:id="0">
    <w:p w:rsidR="001B5A96" w:rsidRDefault="001B5A96" w:rsidP="0012605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96" w:rsidRDefault="001B5A96" w:rsidP="00126058">
      <w:r>
        <w:separator/>
      </w:r>
    </w:p>
  </w:footnote>
  <w:footnote w:type="continuationSeparator" w:id="0">
    <w:p w:rsidR="001B5A96" w:rsidRDefault="001B5A96" w:rsidP="0012605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278"/>
    <w:multiLevelType w:val="multilevel"/>
    <w:tmpl w:val="858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9086B"/>
    <w:multiLevelType w:val="hybridMultilevel"/>
    <w:tmpl w:val="60366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E69D9"/>
    <w:multiLevelType w:val="hybridMultilevel"/>
    <w:tmpl w:val="5D8C4DE8"/>
    <w:lvl w:ilvl="0" w:tplc="B82A9DDA">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savePreviewPicture/>
  <w:footnotePr>
    <w:footnote w:id="-1"/>
    <w:footnote w:id="0"/>
  </w:footnotePr>
  <w:endnotePr>
    <w:endnote w:id="-1"/>
    <w:endnote w:id="0"/>
  </w:endnotePr>
  <w:compat>
    <w:useFELayout/>
  </w:compat>
  <w:rsids>
    <w:rsidRoot w:val="00126058"/>
    <w:rsid w:val="000E5AC2"/>
    <w:rsid w:val="001138DF"/>
    <w:rsid w:val="00126058"/>
    <w:rsid w:val="00141B8A"/>
    <w:rsid w:val="001B5A96"/>
    <w:rsid w:val="001E251B"/>
    <w:rsid w:val="00212D51"/>
    <w:rsid w:val="00222E97"/>
    <w:rsid w:val="002B7711"/>
    <w:rsid w:val="002C0DD0"/>
    <w:rsid w:val="00313F09"/>
    <w:rsid w:val="00321523"/>
    <w:rsid w:val="00341978"/>
    <w:rsid w:val="003F7414"/>
    <w:rsid w:val="00401B3F"/>
    <w:rsid w:val="004774C2"/>
    <w:rsid w:val="004B173B"/>
    <w:rsid w:val="00507426"/>
    <w:rsid w:val="00551D12"/>
    <w:rsid w:val="005F0F14"/>
    <w:rsid w:val="007D7B48"/>
    <w:rsid w:val="008A34E4"/>
    <w:rsid w:val="00921D73"/>
    <w:rsid w:val="009265BE"/>
    <w:rsid w:val="009A5B97"/>
    <w:rsid w:val="009E36F3"/>
    <w:rsid w:val="00A31C0C"/>
    <w:rsid w:val="00A43BA3"/>
    <w:rsid w:val="00AE4A25"/>
    <w:rsid w:val="00B30FD8"/>
    <w:rsid w:val="00B618F3"/>
    <w:rsid w:val="00B62E58"/>
    <w:rsid w:val="00B85933"/>
    <w:rsid w:val="00BB7687"/>
    <w:rsid w:val="00C41960"/>
    <w:rsid w:val="00C72305"/>
    <w:rsid w:val="00D85F29"/>
    <w:rsid w:val="00D95335"/>
    <w:rsid w:val="00DD137D"/>
    <w:rsid w:val="00E430D4"/>
    <w:rsid w:val="00EC5E8F"/>
    <w:rsid w:val="00F41B32"/>
    <w:rsid w:val="00F75180"/>
    <w:rsid w:val="00FD1135"/>
  </w:rsids>
  <m:mathPr>
    <m:mathFont m:val="Arial Black"/>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2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4774C2"/>
    <w:rPr>
      <w:rFonts w:ascii="Tahoma" w:hAnsi="Tahoma" w:cs="Tahoma"/>
      <w:sz w:val="16"/>
      <w:szCs w:val="16"/>
    </w:rPr>
  </w:style>
  <w:style w:type="character" w:customStyle="1" w:styleId="TextedebullesCar">
    <w:name w:val="Texte de bulles Car"/>
    <w:basedOn w:val="Policepardfaut"/>
    <w:link w:val="Textedebulles"/>
    <w:uiPriority w:val="99"/>
    <w:semiHidden/>
    <w:rsid w:val="00F85525"/>
    <w:rPr>
      <w:rFonts w:ascii="Lucida Grande" w:hAnsi="Lucida Grande"/>
      <w:sz w:val="18"/>
      <w:szCs w:val="18"/>
    </w:rPr>
  </w:style>
  <w:style w:type="character" w:customStyle="1" w:styleId="TextedebullesCar0">
    <w:name w:val="Texte de bulles Car"/>
    <w:basedOn w:val="Policepardfaut"/>
    <w:link w:val="Textedebulles"/>
    <w:uiPriority w:val="99"/>
    <w:semiHidden/>
    <w:rsid w:val="00F85525"/>
    <w:rPr>
      <w:rFonts w:ascii="Lucida Grande" w:hAnsi="Lucida Grande"/>
      <w:sz w:val="18"/>
      <w:szCs w:val="18"/>
    </w:rPr>
  </w:style>
  <w:style w:type="paragraph" w:styleId="Notedebasdepage">
    <w:name w:val="footnote text"/>
    <w:aliases w:val="Car Car1,Car1,Car Car Car Car Car Car1,Car Car Car Car Car,Car Car,Car,Car Car Car Car Car Car,Car Car Car Car Car  Car Car Car,Car Car Car Car,Car Car Car"/>
    <w:basedOn w:val="Normal"/>
    <w:link w:val="NotedebasdepageCar"/>
    <w:uiPriority w:val="99"/>
    <w:unhideWhenUsed/>
    <w:rsid w:val="00126058"/>
  </w:style>
  <w:style w:type="character" w:customStyle="1" w:styleId="NotedebasdepageCar">
    <w:name w:val="Note de bas de page Car"/>
    <w:aliases w:val="Car Car1 Car,Car1 Car,Car Car Car Car Car Car1 Car,Car Car Car Car Car Car2,Car Car Car1,Car Car2,Car Car Car Car Car Car Car,Car Car Car Car Car  Car Car Car Car,Car Car Car Car Car1,Car Car Car Car1"/>
    <w:basedOn w:val="Policepardfaut"/>
    <w:link w:val="Notedebasdepage"/>
    <w:uiPriority w:val="99"/>
    <w:rsid w:val="00126058"/>
  </w:style>
  <w:style w:type="character" w:styleId="Marquenotebasdepage">
    <w:name w:val="footnote reference"/>
    <w:basedOn w:val="Policepardfaut"/>
    <w:uiPriority w:val="99"/>
    <w:unhideWhenUsed/>
    <w:rsid w:val="00126058"/>
    <w:rPr>
      <w:vertAlign w:val="superscript"/>
    </w:rPr>
  </w:style>
  <w:style w:type="character" w:styleId="lev">
    <w:name w:val="Strong"/>
    <w:basedOn w:val="Policepardfaut"/>
    <w:uiPriority w:val="22"/>
    <w:qFormat/>
    <w:rsid w:val="003F7414"/>
    <w:rPr>
      <w:b/>
      <w:bCs/>
    </w:rPr>
  </w:style>
  <w:style w:type="character" w:styleId="Lienhypertexte">
    <w:name w:val="Hyperlink"/>
    <w:basedOn w:val="Policepardfaut"/>
    <w:uiPriority w:val="99"/>
    <w:semiHidden/>
    <w:unhideWhenUsed/>
    <w:rsid w:val="003F7414"/>
    <w:rPr>
      <w:color w:val="0000FF"/>
      <w:u w:val="single"/>
    </w:rPr>
  </w:style>
  <w:style w:type="character" w:customStyle="1" w:styleId="apple-converted-space">
    <w:name w:val="apple-converted-space"/>
    <w:basedOn w:val="Policepardfaut"/>
    <w:rsid w:val="003F7414"/>
  </w:style>
  <w:style w:type="character" w:customStyle="1" w:styleId="familyname">
    <w:name w:val="familyname"/>
    <w:basedOn w:val="Policepardfaut"/>
    <w:rsid w:val="003F7414"/>
  </w:style>
  <w:style w:type="character" w:styleId="Accentuation">
    <w:name w:val="Emphasis"/>
    <w:basedOn w:val="Policepardfaut"/>
    <w:uiPriority w:val="20"/>
    <w:qFormat/>
    <w:rsid w:val="003F7414"/>
    <w:rPr>
      <w:i/>
      <w:iCs/>
    </w:rPr>
  </w:style>
  <w:style w:type="paragraph" w:styleId="Paragraphedeliste">
    <w:name w:val="List Paragraph"/>
    <w:basedOn w:val="Normal"/>
    <w:uiPriority w:val="34"/>
    <w:qFormat/>
    <w:rsid w:val="001138DF"/>
    <w:pPr>
      <w:ind w:left="720"/>
      <w:contextualSpacing/>
    </w:pPr>
  </w:style>
  <w:style w:type="character" w:customStyle="1" w:styleId="TextedebullesCar1">
    <w:name w:val="Texte de bulles Car1"/>
    <w:basedOn w:val="Policepardfaut"/>
    <w:link w:val="Textedebulles"/>
    <w:uiPriority w:val="99"/>
    <w:semiHidden/>
    <w:rsid w:val="004774C2"/>
    <w:rPr>
      <w:rFonts w:ascii="Tahoma" w:hAnsi="Tahoma" w:cs="Tahoma"/>
      <w:sz w:val="16"/>
      <w:szCs w:val="16"/>
    </w:rPr>
  </w:style>
  <w:style w:type="character" w:styleId="Marquedannotation">
    <w:name w:val="annotation reference"/>
    <w:basedOn w:val="Policepardfaut"/>
    <w:uiPriority w:val="99"/>
    <w:semiHidden/>
    <w:unhideWhenUsed/>
    <w:rsid w:val="00B30FD8"/>
    <w:rPr>
      <w:sz w:val="16"/>
      <w:szCs w:val="16"/>
    </w:rPr>
  </w:style>
  <w:style w:type="paragraph" w:styleId="Commentaire">
    <w:name w:val="annotation text"/>
    <w:basedOn w:val="Normal"/>
    <w:link w:val="CommentaireCar"/>
    <w:uiPriority w:val="99"/>
    <w:semiHidden/>
    <w:unhideWhenUsed/>
    <w:rsid w:val="00B30FD8"/>
    <w:rPr>
      <w:sz w:val="20"/>
      <w:szCs w:val="20"/>
    </w:rPr>
  </w:style>
  <w:style w:type="character" w:customStyle="1" w:styleId="CommentaireCar">
    <w:name w:val="Commentaire Car"/>
    <w:basedOn w:val="Policepardfaut"/>
    <w:link w:val="Commentaire"/>
    <w:uiPriority w:val="99"/>
    <w:semiHidden/>
    <w:rsid w:val="00B30FD8"/>
    <w:rPr>
      <w:sz w:val="20"/>
      <w:szCs w:val="20"/>
    </w:rPr>
  </w:style>
  <w:style w:type="paragraph" w:styleId="Objetducommentaire">
    <w:name w:val="annotation subject"/>
    <w:basedOn w:val="Commentaire"/>
    <w:next w:val="Commentaire"/>
    <w:link w:val="ObjetducommentaireCar"/>
    <w:uiPriority w:val="99"/>
    <w:semiHidden/>
    <w:unhideWhenUsed/>
    <w:rsid w:val="00B30FD8"/>
    <w:rPr>
      <w:b/>
      <w:bCs/>
    </w:rPr>
  </w:style>
  <w:style w:type="character" w:customStyle="1" w:styleId="ObjetducommentaireCar">
    <w:name w:val="Objet du commentaire Car"/>
    <w:basedOn w:val="CommentaireCar"/>
    <w:link w:val="Objetducommentaire"/>
    <w:uiPriority w:val="99"/>
    <w:semiHidden/>
    <w:rsid w:val="00B30FD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Car1,Car1,Car Car Car Car Car Car1,Car Car Car Car Car,Car Car,Car,Car Car Car Car Car Car,Car Car Car Car Car  Car Car Car,Car Car Car Car,Car Car Car"/>
    <w:basedOn w:val="Normal"/>
    <w:link w:val="NotedebasdepageCar"/>
    <w:uiPriority w:val="99"/>
    <w:unhideWhenUsed/>
    <w:rsid w:val="00126058"/>
  </w:style>
  <w:style w:type="character" w:customStyle="1" w:styleId="NotedebasdepageCar">
    <w:name w:val="Note de bas de page Car"/>
    <w:aliases w:val="Car Car1 Car,Car1 Car,Car Car Car Car Car Car1 Car,Car Car Car Car Car Car2,Car Car Car1,Car Car2,Car Car Car Car Car Car Car,Car Car Car Car Car  Car Car Car Car,Car Car Car Car Car1,Car Car Car Car1"/>
    <w:basedOn w:val="Policepardfaut"/>
    <w:link w:val="Notedebasdepage"/>
    <w:uiPriority w:val="99"/>
    <w:rsid w:val="00126058"/>
  </w:style>
  <w:style w:type="character" w:styleId="Marquenotebasdepage">
    <w:name w:val="footnote reference"/>
    <w:basedOn w:val="Policepardfaut"/>
    <w:uiPriority w:val="99"/>
    <w:unhideWhenUsed/>
    <w:rsid w:val="00126058"/>
    <w:rPr>
      <w:vertAlign w:val="superscript"/>
    </w:rPr>
  </w:style>
  <w:style w:type="character" w:styleId="lev">
    <w:name w:val="Strong"/>
    <w:basedOn w:val="Policepardfaut"/>
    <w:uiPriority w:val="22"/>
    <w:qFormat/>
    <w:rsid w:val="003F7414"/>
    <w:rPr>
      <w:b/>
      <w:bCs/>
    </w:rPr>
  </w:style>
  <w:style w:type="character" w:styleId="Lienhypertexte">
    <w:name w:val="Hyperlink"/>
    <w:basedOn w:val="Policepardfaut"/>
    <w:uiPriority w:val="99"/>
    <w:semiHidden/>
    <w:unhideWhenUsed/>
    <w:rsid w:val="003F7414"/>
    <w:rPr>
      <w:color w:val="0000FF"/>
      <w:u w:val="single"/>
    </w:rPr>
  </w:style>
  <w:style w:type="character" w:customStyle="1" w:styleId="apple-converted-space">
    <w:name w:val="apple-converted-space"/>
    <w:basedOn w:val="Policepardfaut"/>
    <w:rsid w:val="003F7414"/>
  </w:style>
  <w:style w:type="character" w:customStyle="1" w:styleId="familyname">
    <w:name w:val="familyname"/>
    <w:basedOn w:val="Policepardfaut"/>
    <w:rsid w:val="003F7414"/>
  </w:style>
  <w:style w:type="character" w:styleId="Accentuation">
    <w:name w:val="Emphasis"/>
    <w:basedOn w:val="Policepardfaut"/>
    <w:uiPriority w:val="20"/>
    <w:qFormat/>
    <w:rsid w:val="003F7414"/>
    <w:rPr>
      <w:i/>
      <w:iCs/>
    </w:rPr>
  </w:style>
  <w:style w:type="paragraph" w:styleId="Paragraphedeliste">
    <w:name w:val="List Paragraph"/>
    <w:basedOn w:val="Normal"/>
    <w:uiPriority w:val="34"/>
    <w:qFormat/>
    <w:rsid w:val="001138DF"/>
    <w:pPr>
      <w:ind w:left="720"/>
      <w:contextualSpacing/>
    </w:pPr>
  </w:style>
  <w:style w:type="paragraph" w:styleId="Textedebulles">
    <w:name w:val="Balloon Text"/>
    <w:basedOn w:val="Normal"/>
    <w:link w:val="TextedebullesCar"/>
    <w:uiPriority w:val="99"/>
    <w:semiHidden/>
    <w:unhideWhenUsed/>
    <w:rsid w:val="004774C2"/>
    <w:rPr>
      <w:rFonts w:ascii="Tahoma" w:hAnsi="Tahoma" w:cs="Tahoma"/>
      <w:sz w:val="16"/>
      <w:szCs w:val="16"/>
    </w:rPr>
  </w:style>
  <w:style w:type="character" w:customStyle="1" w:styleId="TextedebullesCar">
    <w:name w:val="Texte de bulles Car"/>
    <w:basedOn w:val="Policepardfaut"/>
    <w:link w:val="Textedebulles"/>
    <w:uiPriority w:val="99"/>
    <w:semiHidden/>
    <w:rsid w:val="004774C2"/>
    <w:rPr>
      <w:rFonts w:ascii="Tahoma" w:hAnsi="Tahoma" w:cs="Tahoma"/>
      <w:sz w:val="16"/>
      <w:szCs w:val="16"/>
    </w:rPr>
  </w:style>
  <w:style w:type="character" w:styleId="Marquedannotation">
    <w:name w:val="annotation reference"/>
    <w:basedOn w:val="Policepardfaut"/>
    <w:uiPriority w:val="99"/>
    <w:semiHidden/>
    <w:unhideWhenUsed/>
    <w:rsid w:val="00B30FD8"/>
    <w:rPr>
      <w:sz w:val="16"/>
      <w:szCs w:val="16"/>
    </w:rPr>
  </w:style>
  <w:style w:type="paragraph" w:styleId="Commentaire">
    <w:name w:val="annotation text"/>
    <w:basedOn w:val="Normal"/>
    <w:link w:val="CommentaireCar"/>
    <w:uiPriority w:val="99"/>
    <w:semiHidden/>
    <w:unhideWhenUsed/>
    <w:rsid w:val="00B30FD8"/>
    <w:rPr>
      <w:sz w:val="20"/>
      <w:szCs w:val="20"/>
    </w:rPr>
  </w:style>
  <w:style w:type="character" w:customStyle="1" w:styleId="CommentaireCar">
    <w:name w:val="Commentaire Car"/>
    <w:basedOn w:val="Policepardfaut"/>
    <w:link w:val="Commentaire"/>
    <w:uiPriority w:val="99"/>
    <w:semiHidden/>
    <w:rsid w:val="00B30FD8"/>
    <w:rPr>
      <w:sz w:val="20"/>
      <w:szCs w:val="20"/>
    </w:rPr>
  </w:style>
  <w:style w:type="paragraph" w:styleId="Objetducommentaire">
    <w:name w:val="annotation subject"/>
    <w:basedOn w:val="Commentaire"/>
    <w:next w:val="Commentaire"/>
    <w:link w:val="ObjetducommentaireCar"/>
    <w:uiPriority w:val="99"/>
    <w:semiHidden/>
    <w:unhideWhenUsed/>
    <w:rsid w:val="00B30FD8"/>
    <w:rPr>
      <w:b/>
      <w:bCs/>
    </w:rPr>
  </w:style>
  <w:style w:type="character" w:customStyle="1" w:styleId="ObjetducommentaireCar">
    <w:name w:val="Objet du commentaire Car"/>
    <w:basedOn w:val="CommentaireCar"/>
    <w:link w:val="Objetducommentaire"/>
    <w:uiPriority w:val="99"/>
    <w:semiHidden/>
    <w:rsid w:val="00B30FD8"/>
    <w:rPr>
      <w:b/>
      <w:bCs/>
      <w:sz w:val="20"/>
      <w:szCs w:val="20"/>
    </w:rPr>
  </w:style>
</w:styles>
</file>

<file path=word/webSettings.xml><?xml version="1.0" encoding="utf-8"?>
<w:webSettings xmlns:r="http://schemas.openxmlformats.org/officeDocument/2006/relationships" xmlns:w="http://schemas.openxmlformats.org/wordprocessingml/2006/main">
  <w:divs>
    <w:div w:id="622930168">
      <w:bodyDiv w:val="1"/>
      <w:marLeft w:val="0"/>
      <w:marRight w:val="0"/>
      <w:marTop w:val="0"/>
      <w:marBottom w:val="0"/>
      <w:divBdr>
        <w:top w:val="none" w:sz="0" w:space="0" w:color="auto"/>
        <w:left w:val="none" w:sz="0" w:space="0" w:color="auto"/>
        <w:bottom w:val="none" w:sz="0" w:space="0" w:color="auto"/>
        <w:right w:val="none" w:sz="0" w:space="0" w:color="auto"/>
      </w:divBdr>
    </w:div>
    <w:div w:id="1111583757">
      <w:bodyDiv w:val="1"/>
      <w:marLeft w:val="0"/>
      <w:marRight w:val="0"/>
      <w:marTop w:val="0"/>
      <w:marBottom w:val="0"/>
      <w:divBdr>
        <w:top w:val="none" w:sz="0" w:space="0" w:color="auto"/>
        <w:left w:val="none" w:sz="0" w:space="0" w:color="auto"/>
        <w:bottom w:val="none" w:sz="0" w:space="0" w:color="auto"/>
        <w:right w:val="none" w:sz="0" w:space="0" w:color="auto"/>
      </w:divBdr>
    </w:div>
    <w:div w:id="1184050257">
      <w:bodyDiv w:val="1"/>
      <w:marLeft w:val="0"/>
      <w:marRight w:val="0"/>
      <w:marTop w:val="0"/>
      <w:marBottom w:val="0"/>
      <w:divBdr>
        <w:top w:val="none" w:sz="0" w:space="0" w:color="auto"/>
        <w:left w:val="none" w:sz="0" w:space="0" w:color="auto"/>
        <w:bottom w:val="none" w:sz="0" w:space="0" w:color="auto"/>
        <w:right w:val="none" w:sz="0" w:space="0" w:color="auto"/>
      </w:divBdr>
      <w:divsChild>
        <w:div w:id="1690446235">
          <w:marLeft w:val="0"/>
          <w:marRight w:val="0"/>
          <w:marTop w:val="0"/>
          <w:marBottom w:val="0"/>
          <w:divBdr>
            <w:top w:val="none" w:sz="0" w:space="0" w:color="auto"/>
            <w:left w:val="none" w:sz="0" w:space="0" w:color="auto"/>
            <w:bottom w:val="none" w:sz="0" w:space="0" w:color="auto"/>
            <w:right w:val="none" w:sz="0" w:space="0" w:color="auto"/>
          </w:divBdr>
        </w:div>
      </w:divsChild>
    </w:div>
    <w:div w:id="2057507893">
      <w:bodyDiv w:val="1"/>
      <w:marLeft w:val="0"/>
      <w:marRight w:val="0"/>
      <w:marTop w:val="0"/>
      <w:marBottom w:val="0"/>
      <w:divBdr>
        <w:top w:val="none" w:sz="0" w:space="0" w:color="auto"/>
        <w:left w:val="none" w:sz="0" w:space="0" w:color="auto"/>
        <w:bottom w:val="none" w:sz="0" w:space="0" w:color="auto"/>
        <w:right w:val="none" w:sz="0" w:space="0" w:color="auto"/>
      </w:divBdr>
      <w:divsChild>
        <w:div w:id="16963412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ectures.revues.org/2980"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ectures.revues.org/1823" TargetMode="External"/><Relationship Id="rId9" Type="http://schemas.openxmlformats.org/officeDocument/2006/relationships/hyperlink" Target="https://lectures.revues.org/2982" TargetMode="External"/><Relationship Id="rId10" Type="http://schemas.openxmlformats.org/officeDocument/2006/relationships/hyperlink" Target="https://lectures.revues.org/1065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2E9E6-8A15-3046-AAD4-0F066874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804</Words>
  <Characters>4584</Characters>
  <Application>Microsoft Macintosh Word</Application>
  <DocSecurity>0</DocSecurity>
  <Lines>38</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robin</dc:creator>
  <cp:keywords/>
  <dc:description/>
  <cp:lastModifiedBy>Véronique Francis</cp:lastModifiedBy>
  <cp:revision>7</cp:revision>
  <dcterms:created xsi:type="dcterms:W3CDTF">2016-01-06T20:34:00Z</dcterms:created>
  <dcterms:modified xsi:type="dcterms:W3CDTF">2016-01-31T20:12:00Z</dcterms:modified>
</cp:coreProperties>
</file>