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A9A78" w14:textId="77777777" w:rsidR="00FD76E7" w:rsidRDefault="003C5DCD" w:rsidP="00FD76E7">
      <w:pPr>
        <w:spacing w:after="120"/>
        <w:jc w:val="center"/>
        <w:rPr>
          <w:rFonts w:asciiTheme="majorHAnsi" w:hAnsiTheme="majorHAnsi"/>
          <w:b/>
          <w:sz w:val="22"/>
          <w:szCs w:val="22"/>
        </w:rPr>
      </w:pPr>
      <w:bookmarkStart w:id="0" w:name="_GoBack"/>
      <w:bookmarkEnd w:id="0"/>
      <w:r w:rsidRPr="00E74D35">
        <w:rPr>
          <w:rFonts w:asciiTheme="majorHAnsi" w:hAnsiTheme="majorHAnsi"/>
          <w:b/>
          <w:sz w:val="22"/>
          <w:szCs w:val="22"/>
        </w:rPr>
        <w:t xml:space="preserve">Le rapport au savoir à l’Université </w:t>
      </w:r>
    </w:p>
    <w:p w14:paraId="2DDA7FCF" w14:textId="15F4D154" w:rsidR="003C5DCD" w:rsidRPr="00E74D35" w:rsidRDefault="003C5DCD" w:rsidP="00FD76E7">
      <w:pPr>
        <w:spacing w:after="120"/>
        <w:jc w:val="center"/>
        <w:rPr>
          <w:rFonts w:asciiTheme="majorHAnsi" w:hAnsiTheme="majorHAnsi"/>
          <w:b/>
          <w:sz w:val="22"/>
          <w:szCs w:val="22"/>
        </w:rPr>
      </w:pPr>
      <w:r w:rsidRPr="00E74D35">
        <w:rPr>
          <w:rFonts w:asciiTheme="majorHAnsi" w:hAnsiTheme="majorHAnsi"/>
          <w:b/>
          <w:sz w:val="22"/>
          <w:szCs w:val="22"/>
        </w:rPr>
        <w:t>– des étudiants aux enseignants-chercheurs</w:t>
      </w:r>
    </w:p>
    <w:p w14:paraId="5B169CB8" w14:textId="77777777" w:rsidR="004D6AB1" w:rsidRPr="00E74D35" w:rsidRDefault="004D6AB1" w:rsidP="00E74D35">
      <w:pPr>
        <w:spacing w:after="120"/>
        <w:jc w:val="both"/>
        <w:rPr>
          <w:rFonts w:asciiTheme="majorHAnsi" w:hAnsiTheme="majorHAnsi"/>
          <w:sz w:val="22"/>
          <w:szCs w:val="22"/>
        </w:rPr>
      </w:pPr>
    </w:p>
    <w:p w14:paraId="217F1788" w14:textId="095BD7FA" w:rsidR="00FD76E7" w:rsidRPr="00FD76E7" w:rsidRDefault="00FD76E7" w:rsidP="006B6338">
      <w:pPr>
        <w:pStyle w:val="Notedebasdepage"/>
        <w:rPr>
          <w:rFonts w:asciiTheme="majorHAnsi" w:hAnsiTheme="majorHAnsi"/>
          <w:i/>
          <w:sz w:val="22"/>
          <w:szCs w:val="22"/>
        </w:rPr>
      </w:pPr>
      <w:r>
        <w:rPr>
          <w:rFonts w:asciiTheme="majorHAnsi" w:hAnsiTheme="majorHAnsi"/>
          <w:i/>
          <w:sz w:val="22"/>
          <w:szCs w:val="22"/>
        </w:rPr>
        <w:t xml:space="preserve">Contextualisation </w:t>
      </w:r>
    </w:p>
    <w:p w14:paraId="0A6884A3" w14:textId="7E83442D" w:rsidR="006B6338" w:rsidRDefault="004D6AB1" w:rsidP="006B6338">
      <w:pPr>
        <w:pStyle w:val="Notedebasdepage"/>
        <w:rPr>
          <w:rFonts w:asciiTheme="majorHAnsi" w:hAnsiTheme="majorHAnsi"/>
          <w:sz w:val="22"/>
          <w:szCs w:val="22"/>
        </w:rPr>
      </w:pPr>
      <w:r w:rsidRPr="00E74D35">
        <w:rPr>
          <w:rFonts w:asciiTheme="majorHAnsi" w:hAnsiTheme="majorHAnsi"/>
          <w:sz w:val="22"/>
          <w:szCs w:val="22"/>
        </w:rPr>
        <w:t xml:space="preserve">L’Université est </w:t>
      </w:r>
      <w:r w:rsidR="00E74D35" w:rsidRPr="00E74D35">
        <w:rPr>
          <w:rFonts w:asciiTheme="majorHAnsi" w:hAnsiTheme="majorHAnsi"/>
          <w:sz w:val="22"/>
          <w:szCs w:val="22"/>
        </w:rPr>
        <w:t>confrontée à une</w:t>
      </w:r>
      <w:r w:rsidRPr="00E74D35">
        <w:rPr>
          <w:rFonts w:asciiTheme="majorHAnsi" w:hAnsiTheme="majorHAnsi"/>
          <w:sz w:val="22"/>
          <w:szCs w:val="22"/>
        </w:rPr>
        <w:t xml:space="preserve"> crise (</w:t>
      </w:r>
      <w:r w:rsidR="00E74D35" w:rsidRPr="00E74D35">
        <w:rPr>
          <w:rFonts w:asciiTheme="majorHAnsi" w:hAnsiTheme="majorHAnsi"/>
          <w:sz w:val="22"/>
          <w:szCs w:val="22"/>
        </w:rPr>
        <w:t>Mistral, 2009 ; Flipo et Larqué, 2009 ; Rinne et Koivula, 2005 ;  Denman, 2005</w:t>
      </w:r>
      <w:r w:rsidRPr="00E74D35">
        <w:rPr>
          <w:rFonts w:asciiTheme="majorHAnsi" w:hAnsiTheme="majorHAnsi"/>
          <w:sz w:val="22"/>
          <w:szCs w:val="22"/>
        </w:rPr>
        <w:t>) et l</w:t>
      </w:r>
      <w:r w:rsidR="00D52845" w:rsidRPr="00E74D35">
        <w:rPr>
          <w:rFonts w:asciiTheme="majorHAnsi" w:hAnsiTheme="majorHAnsi"/>
          <w:sz w:val="22"/>
          <w:szCs w:val="22"/>
        </w:rPr>
        <w:t>e rapport au savoir des étudiants pose problème (</w:t>
      </w:r>
      <w:r w:rsidRPr="00E74D35">
        <w:rPr>
          <w:rFonts w:asciiTheme="majorHAnsi" w:hAnsiTheme="majorHAnsi"/>
          <w:sz w:val="22"/>
          <w:szCs w:val="22"/>
        </w:rPr>
        <w:t>Nafti-Malherbe et Samson, 2013</w:t>
      </w:r>
      <w:r w:rsidR="00D52845" w:rsidRPr="00E74D35">
        <w:rPr>
          <w:rFonts w:asciiTheme="majorHAnsi" w:hAnsiTheme="majorHAnsi"/>
          <w:sz w:val="22"/>
          <w:szCs w:val="22"/>
        </w:rPr>
        <w:t xml:space="preserve">). </w:t>
      </w:r>
      <w:r w:rsidR="001526FC" w:rsidRPr="00E74D35">
        <w:rPr>
          <w:rFonts w:asciiTheme="majorHAnsi" w:hAnsiTheme="majorHAnsi"/>
          <w:sz w:val="22"/>
          <w:szCs w:val="22"/>
        </w:rPr>
        <w:t>Rares sont désormais les étudiants héritiers</w:t>
      </w:r>
      <w:r w:rsidR="00D52845" w:rsidRPr="00E74D35">
        <w:rPr>
          <w:rFonts w:asciiTheme="majorHAnsi" w:hAnsiTheme="majorHAnsi"/>
          <w:sz w:val="22"/>
          <w:szCs w:val="22"/>
        </w:rPr>
        <w:t>,</w:t>
      </w:r>
      <w:r w:rsidR="001526FC" w:rsidRPr="00E74D35">
        <w:rPr>
          <w:rFonts w:asciiTheme="majorHAnsi" w:hAnsiTheme="majorHAnsi"/>
          <w:sz w:val="22"/>
          <w:szCs w:val="22"/>
        </w:rPr>
        <w:t xml:space="preserve"> passi</w:t>
      </w:r>
      <w:r w:rsidR="00D52845" w:rsidRPr="00E74D35">
        <w:rPr>
          <w:rFonts w:asciiTheme="majorHAnsi" w:hAnsiTheme="majorHAnsi"/>
          <w:sz w:val="22"/>
          <w:szCs w:val="22"/>
        </w:rPr>
        <w:t xml:space="preserve">onnés par les enseignements </w:t>
      </w:r>
      <w:r w:rsidR="001526FC" w:rsidRPr="00E74D35">
        <w:rPr>
          <w:rFonts w:asciiTheme="majorHAnsi" w:hAnsiTheme="majorHAnsi"/>
          <w:sz w:val="22"/>
          <w:szCs w:val="22"/>
        </w:rPr>
        <w:t>dispensés</w:t>
      </w:r>
      <w:r w:rsidR="00D52845" w:rsidRPr="00E74D35">
        <w:rPr>
          <w:rFonts w:asciiTheme="majorHAnsi" w:hAnsiTheme="majorHAnsi"/>
          <w:sz w:val="22"/>
          <w:szCs w:val="22"/>
        </w:rPr>
        <w:t>,</w:t>
      </w:r>
      <w:r w:rsidR="001526FC" w:rsidRPr="00E74D35">
        <w:rPr>
          <w:rFonts w:asciiTheme="majorHAnsi" w:hAnsiTheme="majorHAnsi"/>
          <w:sz w:val="22"/>
          <w:szCs w:val="22"/>
        </w:rPr>
        <w:t xml:space="preserve"> </w:t>
      </w:r>
      <w:r w:rsidR="00D52845" w:rsidRPr="00E74D35">
        <w:rPr>
          <w:rFonts w:asciiTheme="majorHAnsi" w:hAnsiTheme="majorHAnsi"/>
          <w:sz w:val="22"/>
          <w:szCs w:val="22"/>
        </w:rPr>
        <w:t>pour qui le savoir théorique « fai</w:t>
      </w:r>
      <w:r w:rsidR="001526FC" w:rsidRPr="00E74D35">
        <w:rPr>
          <w:rFonts w:asciiTheme="majorHAnsi" w:hAnsiTheme="majorHAnsi"/>
          <w:sz w:val="22"/>
          <w:szCs w:val="22"/>
        </w:rPr>
        <w:t>t sens</w:t>
      </w:r>
      <w:r w:rsidR="00D52845" w:rsidRPr="00E74D35">
        <w:rPr>
          <w:rFonts w:asciiTheme="majorHAnsi" w:hAnsiTheme="majorHAnsi"/>
          <w:sz w:val="22"/>
          <w:szCs w:val="22"/>
        </w:rPr>
        <w:t> »</w:t>
      </w:r>
      <w:r w:rsidR="001526FC" w:rsidRPr="00E74D35">
        <w:rPr>
          <w:rFonts w:asciiTheme="majorHAnsi" w:hAnsiTheme="majorHAnsi"/>
          <w:sz w:val="22"/>
          <w:szCs w:val="22"/>
        </w:rPr>
        <w:t xml:space="preserve">, </w:t>
      </w:r>
      <w:r w:rsidR="00D52845" w:rsidRPr="00E74D35">
        <w:rPr>
          <w:rFonts w:asciiTheme="majorHAnsi" w:hAnsiTheme="majorHAnsi"/>
          <w:sz w:val="22"/>
          <w:szCs w:val="22"/>
        </w:rPr>
        <w:t xml:space="preserve">a </w:t>
      </w:r>
      <w:r w:rsidR="001526FC" w:rsidRPr="00E74D35">
        <w:rPr>
          <w:rFonts w:asciiTheme="majorHAnsi" w:hAnsiTheme="majorHAnsi"/>
          <w:sz w:val="22"/>
          <w:szCs w:val="22"/>
        </w:rPr>
        <w:t>marqu</w:t>
      </w:r>
      <w:r w:rsidR="00D52845" w:rsidRPr="00E74D35">
        <w:rPr>
          <w:rFonts w:asciiTheme="majorHAnsi" w:hAnsiTheme="majorHAnsi"/>
          <w:sz w:val="22"/>
          <w:szCs w:val="22"/>
        </w:rPr>
        <w:t>é</w:t>
      </w:r>
      <w:r w:rsidR="001526FC" w:rsidRPr="00E74D35">
        <w:rPr>
          <w:rFonts w:asciiTheme="majorHAnsi" w:hAnsiTheme="majorHAnsi"/>
          <w:sz w:val="22"/>
          <w:szCs w:val="22"/>
        </w:rPr>
        <w:t xml:space="preserve"> leur histoire éducative</w:t>
      </w:r>
      <w:r w:rsidR="00D52845" w:rsidRPr="00E74D35">
        <w:rPr>
          <w:rFonts w:asciiTheme="majorHAnsi" w:hAnsiTheme="majorHAnsi"/>
          <w:sz w:val="22"/>
          <w:szCs w:val="22"/>
        </w:rPr>
        <w:t>,</w:t>
      </w:r>
      <w:r w:rsidR="001526FC" w:rsidRPr="00E74D35">
        <w:rPr>
          <w:rFonts w:asciiTheme="majorHAnsi" w:hAnsiTheme="majorHAnsi"/>
          <w:sz w:val="22"/>
          <w:szCs w:val="22"/>
        </w:rPr>
        <w:t xml:space="preserve"> et </w:t>
      </w:r>
      <w:r w:rsidR="00D52845" w:rsidRPr="00E74D35">
        <w:rPr>
          <w:rFonts w:asciiTheme="majorHAnsi" w:hAnsiTheme="majorHAnsi"/>
          <w:sz w:val="22"/>
          <w:szCs w:val="22"/>
        </w:rPr>
        <w:t>est</w:t>
      </w:r>
      <w:r w:rsidR="001526FC" w:rsidRPr="00E74D35">
        <w:rPr>
          <w:rFonts w:asciiTheme="majorHAnsi" w:hAnsiTheme="majorHAnsi"/>
          <w:sz w:val="22"/>
          <w:szCs w:val="22"/>
        </w:rPr>
        <w:t xml:space="preserve"> un point d’appui dans leur projection dans l’avenir. Plus nombreux sont les étudiants </w:t>
      </w:r>
      <w:r w:rsidR="00D52845" w:rsidRPr="00E74D35">
        <w:rPr>
          <w:rFonts w:asciiTheme="majorHAnsi" w:hAnsiTheme="majorHAnsi"/>
          <w:sz w:val="22"/>
          <w:szCs w:val="22"/>
        </w:rPr>
        <w:t xml:space="preserve">en proie </w:t>
      </w:r>
      <w:r w:rsidR="004517C0" w:rsidRPr="00E74D35">
        <w:rPr>
          <w:rFonts w:asciiTheme="majorHAnsi" w:hAnsiTheme="majorHAnsi"/>
          <w:sz w:val="22"/>
          <w:szCs w:val="22"/>
        </w:rPr>
        <w:t>au décrochage</w:t>
      </w:r>
      <w:r w:rsidR="00375279" w:rsidRPr="00E74D35">
        <w:rPr>
          <w:rFonts w:asciiTheme="majorHAnsi" w:hAnsiTheme="majorHAnsi"/>
          <w:sz w:val="22"/>
          <w:szCs w:val="22"/>
        </w:rPr>
        <w:t xml:space="preserve">, qui doutent de la pertinence de leurs études, qui ont de la peine à lire et </w:t>
      </w:r>
      <w:r w:rsidR="004517C0" w:rsidRPr="00E74D35">
        <w:rPr>
          <w:rFonts w:asciiTheme="majorHAnsi" w:hAnsiTheme="majorHAnsi"/>
          <w:sz w:val="22"/>
          <w:szCs w:val="22"/>
        </w:rPr>
        <w:t xml:space="preserve">qui </w:t>
      </w:r>
      <w:r w:rsidR="001526FC" w:rsidRPr="00E74D35">
        <w:rPr>
          <w:rFonts w:asciiTheme="majorHAnsi" w:hAnsiTheme="majorHAnsi"/>
          <w:sz w:val="22"/>
          <w:szCs w:val="22"/>
        </w:rPr>
        <w:t xml:space="preserve">ne peuvent </w:t>
      </w:r>
      <w:r w:rsidR="004517C0" w:rsidRPr="00E74D35">
        <w:rPr>
          <w:rFonts w:asciiTheme="majorHAnsi" w:hAnsiTheme="majorHAnsi"/>
          <w:sz w:val="22"/>
          <w:szCs w:val="22"/>
        </w:rPr>
        <w:t>tenir</w:t>
      </w:r>
      <w:r w:rsidR="001526FC" w:rsidRPr="00E74D35">
        <w:rPr>
          <w:rFonts w:asciiTheme="majorHAnsi" w:hAnsiTheme="majorHAnsi"/>
          <w:sz w:val="22"/>
          <w:szCs w:val="22"/>
        </w:rPr>
        <w:t xml:space="preserve"> dans un cours magistral sans naviguer s</w:t>
      </w:r>
      <w:r w:rsidR="00375279" w:rsidRPr="00E74D35">
        <w:rPr>
          <w:rFonts w:asciiTheme="majorHAnsi" w:hAnsiTheme="majorHAnsi"/>
          <w:sz w:val="22"/>
          <w:szCs w:val="22"/>
        </w:rPr>
        <w:t xml:space="preserve">ur internet. </w:t>
      </w:r>
      <w:r w:rsidR="006B6338">
        <w:rPr>
          <w:rFonts w:asciiTheme="majorHAnsi" w:hAnsiTheme="majorHAnsi"/>
          <w:sz w:val="22"/>
          <w:szCs w:val="22"/>
        </w:rPr>
        <w:t>Les étudiants</w:t>
      </w:r>
      <w:r w:rsidR="00375279" w:rsidRPr="00E74D35">
        <w:rPr>
          <w:rFonts w:asciiTheme="majorHAnsi" w:hAnsiTheme="majorHAnsi"/>
          <w:sz w:val="22"/>
          <w:szCs w:val="22"/>
        </w:rPr>
        <w:t xml:space="preserve"> construisent</w:t>
      </w:r>
      <w:r w:rsidR="006B6338">
        <w:rPr>
          <w:rFonts w:asciiTheme="majorHAnsi" w:hAnsiTheme="majorHAnsi"/>
          <w:sz w:val="22"/>
          <w:szCs w:val="22"/>
        </w:rPr>
        <w:t xml:space="preserve"> désormais</w:t>
      </w:r>
      <w:r w:rsidR="00375279" w:rsidRPr="00E74D35">
        <w:rPr>
          <w:rFonts w:asciiTheme="majorHAnsi" w:hAnsiTheme="majorHAnsi"/>
          <w:sz w:val="22"/>
          <w:szCs w:val="22"/>
        </w:rPr>
        <w:t xml:space="preserve"> leur projet d’orientation sur ce fond de désorientation caractéristique de la période contemporaine (</w:t>
      </w:r>
      <w:r w:rsidRPr="00E74D35">
        <w:rPr>
          <w:rFonts w:asciiTheme="majorHAnsi" w:hAnsiTheme="majorHAnsi"/>
          <w:sz w:val="22"/>
          <w:szCs w:val="22"/>
        </w:rPr>
        <w:t>Boutinet et Dominicé, 2009 ; Danvers, 2007</w:t>
      </w:r>
      <w:r w:rsidR="00375279" w:rsidRPr="00E74D35">
        <w:rPr>
          <w:rFonts w:asciiTheme="majorHAnsi" w:hAnsiTheme="majorHAnsi"/>
          <w:sz w:val="22"/>
          <w:szCs w:val="22"/>
        </w:rPr>
        <w:t xml:space="preserve">). A de rares exceptions près, même sous une apparence solide, le projet d’orientation comporte un fort potentiel de liquidité </w:t>
      </w:r>
      <w:r w:rsidR="00E74D35" w:rsidRPr="00E74D35">
        <w:rPr>
          <w:rFonts w:asciiTheme="majorHAnsi" w:hAnsiTheme="majorHAnsi"/>
          <w:sz w:val="22"/>
          <w:szCs w:val="22"/>
        </w:rPr>
        <w:t xml:space="preserve">(Baumann, 2013) : </w:t>
      </w:r>
      <w:r w:rsidR="00375279" w:rsidRPr="00E74D35">
        <w:rPr>
          <w:rFonts w:asciiTheme="majorHAnsi" w:hAnsiTheme="majorHAnsi"/>
          <w:sz w:val="22"/>
          <w:szCs w:val="22"/>
        </w:rPr>
        <w:t>la remise en question puis l’abandon de son projet d’orientation pe</w:t>
      </w:r>
      <w:r w:rsidR="00E74D35" w:rsidRPr="00E74D35">
        <w:rPr>
          <w:rFonts w:asciiTheme="majorHAnsi" w:hAnsiTheme="majorHAnsi"/>
          <w:sz w:val="22"/>
          <w:szCs w:val="22"/>
        </w:rPr>
        <w:t>ut être particulièrement rapide</w:t>
      </w:r>
      <w:r w:rsidR="00375279" w:rsidRPr="00E74D35">
        <w:rPr>
          <w:rFonts w:asciiTheme="majorHAnsi" w:hAnsiTheme="majorHAnsi"/>
          <w:sz w:val="22"/>
          <w:szCs w:val="22"/>
        </w:rPr>
        <w:t xml:space="preserve">. La solidité des savoirs théoriques </w:t>
      </w:r>
      <w:r w:rsidRPr="00E74D35">
        <w:rPr>
          <w:rFonts w:asciiTheme="majorHAnsi" w:hAnsiTheme="majorHAnsi"/>
          <w:sz w:val="22"/>
          <w:szCs w:val="22"/>
        </w:rPr>
        <w:t>est ici inopérante</w:t>
      </w:r>
      <w:r w:rsidR="00375279" w:rsidRPr="00E74D35">
        <w:rPr>
          <w:rFonts w:asciiTheme="majorHAnsi" w:hAnsiTheme="majorHAnsi"/>
          <w:sz w:val="22"/>
          <w:szCs w:val="22"/>
        </w:rPr>
        <w:t xml:space="preserve"> pour donner une consistante au projet d’orientation des étudiants. </w:t>
      </w:r>
      <w:r w:rsidR="006B6338">
        <w:rPr>
          <w:rFonts w:asciiTheme="majorHAnsi" w:hAnsiTheme="majorHAnsi"/>
          <w:sz w:val="22"/>
          <w:szCs w:val="22"/>
        </w:rPr>
        <w:t xml:space="preserve">Les étudiants sont des « s’orientant » : ce sont en partie des sujets en train de construire leur parcours. Mais la métaphore du bâtiment et de la construction cède de plus en plus la place à celle de la navigation. Les étudiants  apprennent à surfer sur les opportunités et à naviguer dans un environnement incertain ou hostile. Le sensible est une composante clé dans l’activité d’orientation des étudiants qui recherchent du sens comme des sensations. </w:t>
      </w:r>
    </w:p>
    <w:p w14:paraId="36C7B4EE" w14:textId="77777777" w:rsidR="00FD76E7" w:rsidRDefault="00FD76E7" w:rsidP="006B6338">
      <w:pPr>
        <w:pStyle w:val="Notedebasdepage"/>
        <w:rPr>
          <w:rFonts w:asciiTheme="majorHAnsi" w:hAnsiTheme="majorHAnsi"/>
          <w:sz w:val="22"/>
          <w:szCs w:val="22"/>
        </w:rPr>
      </w:pPr>
    </w:p>
    <w:p w14:paraId="23795688" w14:textId="45390027" w:rsidR="00FD76E7" w:rsidRPr="00FD76E7" w:rsidRDefault="00FD76E7" w:rsidP="006B6338">
      <w:pPr>
        <w:pStyle w:val="Notedebasdepage"/>
        <w:rPr>
          <w:rFonts w:asciiTheme="majorHAnsi" w:hAnsiTheme="majorHAnsi"/>
          <w:i/>
          <w:sz w:val="22"/>
          <w:szCs w:val="22"/>
        </w:rPr>
      </w:pPr>
      <w:r w:rsidRPr="00FD76E7">
        <w:rPr>
          <w:rFonts w:asciiTheme="majorHAnsi" w:hAnsiTheme="majorHAnsi"/>
          <w:i/>
          <w:sz w:val="22"/>
          <w:szCs w:val="22"/>
        </w:rPr>
        <w:t xml:space="preserve">Cadre de cette recherche action </w:t>
      </w:r>
    </w:p>
    <w:p w14:paraId="52E691CF" w14:textId="1F46ADFC" w:rsidR="006B6338" w:rsidRDefault="006B6338" w:rsidP="004A452E">
      <w:pPr>
        <w:pStyle w:val="Notedebasdepage"/>
        <w:rPr>
          <w:rFonts w:asciiTheme="majorHAnsi" w:hAnsiTheme="majorHAnsi"/>
          <w:sz w:val="22"/>
          <w:szCs w:val="22"/>
        </w:rPr>
      </w:pPr>
      <w:r w:rsidRPr="006B6338">
        <w:rPr>
          <w:rFonts w:asciiTheme="majorHAnsi" w:hAnsiTheme="majorHAnsi"/>
          <w:sz w:val="22"/>
          <w:szCs w:val="22"/>
        </w:rPr>
        <w:t xml:space="preserve">Cette </w:t>
      </w:r>
      <w:r w:rsidR="00FD76E7">
        <w:rPr>
          <w:rFonts w:asciiTheme="majorHAnsi" w:hAnsiTheme="majorHAnsi"/>
          <w:sz w:val="22"/>
          <w:szCs w:val="22"/>
        </w:rPr>
        <w:t>contribution</w:t>
      </w:r>
      <w:r w:rsidRPr="006B6338">
        <w:rPr>
          <w:rFonts w:asciiTheme="majorHAnsi" w:hAnsiTheme="majorHAnsi"/>
          <w:sz w:val="22"/>
          <w:szCs w:val="22"/>
        </w:rPr>
        <w:t xml:space="preserve"> prend appui sur une pratique éducative mise en œuvre à l’Université dans l’animation d’une formation pour des étudiants en demande d’aide dans la construction de leur projet d’orientation. Cette formation se présente sous la forme d’un Diplôme d’Université de niveau bac+1 à destination d’étudiants néo-bacheliers ou en situation de réorientation (après un échec universitaire ou suite à l’obtention d’un diplôme). Au sein de cette formation trois types de savoirs sont articulés (Prouteau, 2006) : les savoirs théoriques permettant à l’étudiant d’utiliser des outils conceptuels pour penser son rapport au monde et de se situer comme sujet au sein de la complexité de son environnement. Des savoirs expérientiels permettant à l’étudiant la réalisation d’apprentissages par des mises en situation dans le cadre de l’enseignement et par immersion dans des organisations au travail. Des savoirs existentiels permettant à l’étudiant d’éprouver son existence au cœur de son projet de formation et de travailler des questions comme « Comment prendre confiance en moi ? ». </w:t>
      </w:r>
    </w:p>
    <w:p w14:paraId="2674E35B" w14:textId="77777777" w:rsidR="00FD76E7" w:rsidRDefault="00FD76E7" w:rsidP="004A452E">
      <w:pPr>
        <w:pStyle w:val="Notedebasdepage"/>
        <w:rPr>
          <w:rFonts w:asciiTheme="majorHAnsi" w:hAnsiTheme="majorHAnsi"/>
          <w:sz w:val="22"/>
          <w:szCs w:val="22"/>
        </w:rPr>
      </w:pPr>
    </w:p>
    <w:p w14:paraId="6D42EC2D" w14:textId="25BC3FCC" w:rsidR="00FD76E7" w:rsidRPr="00FD76E7" w:rsidRDefault="00FD76E7" w:rsidP="004A452E">
      <w:pPr>
        <w:pStyle w:val="Notedebasdepage"/>
        <w:rPr>
          <w:rFonts w:asciiTheme="majorHAnsi" w:hAnsiTheme="majorHAnsi"/>
          <w:i/>
          <w:sz w:val="22"/>
          <w:szCs w:val="22"/>
        </w:rPr>
      </w:pPr>
      <w:r w:rsidRPr="00FD76E7">
        <w:rPr>
          <w:rFonts w:asciiTheme="majorHAnsi" w:hAnsiTheme="majorHAnsi"/>
          <w:i/>
          <w:sz w:val="22"/>
          <w:szCs w:val="22"/>
        </w:rPr>
        <w:t xml:space="preserve">Méthodologie </w:t>
      </w:r>
      <w:r>
        <w:rPr>
          <w:rFonts w:asciiTheme="majorHAnsi" w:hAnsiTheme="majorHAnsi"/>
          <w:i/>
          <w:sz w:val="22"/>
          <w:szCs w:val="22"/>
        </w:rPr>
        <w:t>et recueil du matériau</w:t>
      </w:r>
    </w:p>
    <w:p w14:paraId="5550425B" w14:textId="11621BCA" w:rsidR="00FD76E7" w:rsidRDefault="00FD76E7" w:rsidP="00FD76E7">
      <w:pPr>
        <w:spacing w:after="120"/>
        <w:jc w:val="both"/>
        <w:rPr>
          <w:rFonts w:asciiTheme="majorHAnsi" w:hAnsiTheme="majorHAnsi"/>
          <w:sz w:val="22"/>
          <w:szCs w:val="22"/>
        </w:rPr>
      </w:pPr>
      <w:r w:rsidRPr="00A8447C">
        <w:rPr>
          <w:rFonts w:asciiTheme="majorHAnsi" w:hAnsiTheme="majorHAnsi"/>
          <w:sz w:val="22"/>
          <w:szCs w:val="22"/>
        </w:rPr>
        <w:t>Le matériau recueilli est issu</w:t>
      </w:r>
      <w:r>
        <w:rPr>
          <w:rFonts w:asciiTheme="majorHAnsi" w:hAnsiTheme="majorHAnsi"/>
          <w:sz w:val="22"/>
          <w:szCs w:val="22"/>
        </w:rPr>
        <w:t> :</w:t>
      </w:r>
      <w:r w:rsidRPr="00A8447C">
        <w:rPr>
          <w:rFonts w:asciiTheme="majorHAnsi" w:hAnsiTheme="majorHAnsi"/>
          <w:sz w:val="22"/>
          <w:szCs w:val="22"/>
        </w:rPr>
        <w:t xml:space="preserve"> </w:t>
      </w:r>
      <w:r w:rsidRPr="009C7544">
        <w:rPr>
          <w:rFonts w:asciiTheme="majorHAnsi" w:hAnsiTheme="majorHAnsi"/>
          <w:i/>
          <w:sz w:val="22"/>
          <w:szCs w:val="22"/>
        </w:rPr>
        <w:t>primo</w:t>
      </w:r>
      <w:r>
        <w:rPr>
          <w:rFonts w:asciiTheme="majorHAnsi" w:hAnsiTheme="majorHAnsi"/>
          <w:sz w:val="22"/>
          <w:szCs w:val="22"/>
        </w:rPr>
        <w:t xml:space="preserve">, </w:t>
      </w:r>
      <w:r w:rsidRPr="00A8447C">
        <w:rPr>
          <w:rFonts w:asciiTheme="majorHAnsi" w:hAnsiTheme="majorHAnsi"/>
          <w:sz w:val="22"/>
          <w:szCs w:val="22"/>
        </w:rPr>
        <w:t xml:space="preserve">d’observations réalisées 2008 et 2015 </w:t>
      </w:r>
      <w:r>
        <w:rPr>
          <w:rFonts w:asciiTheme="majorHAnsi" w:hAnsiTheme="majorHAnsi"/>
          <w:sz w:val="22"/>
          <w:szCs w:val="22"/>
        </w:rPr>
        <w:t>lors</w:t>
      </w:r>
      <w:r w:rsidRPr="00A8447C">
        <w:rPr>
          <w:rFonts w:asciiTheme="majorHAnsi" w:hAnsiTheme="majorHAnsi"/>
          <w:sz w:val="22"/>
          <w:szCs w:val="22"/>
        </w:rPr>
        <w:t xml:space="preserve"> de l’accompagnement mensuel personnalisé de 44 étudiants au cours de 306 entretiens répartis sur 7 années</w:t>
      </w:r>
      <w:r>
        <w:rPr>
          <w:rFonts w:asciiTheme="majorHAnsi" w:hAnsiTheme="majorHAnsi"/>
          <w:sz w:val="22"/>
          <w:szCs w:val="22"/>
        </w:rPr>
        <w:t> ; secundo, de la lecture de</w:t>
      </w:r>
      <w:r w:rsidRPr="00A8447C">
        <w:rPr>
          <w:rFonts w:asciiTheme="majorHAnsi" w:hAnsiTheme="majorHAnsi"/>
          <w:sz w:val="22"/>
          <w:szCs w:val="22"/>
        </w:rPr>
        <w:t xml:space="preserve"> bilans d’année rédigés par les étudiants à l’issue de leur formation, pour lequel il leur était demandé d’expliciter ce qu’ils avaient appris de significatif </w:t>
      </w:r>
      <w:r>
        <w:rPr>
          <w:rFonts w:asciiTheme="majorHAnsi" w:hAnsiTheme="majorHAnsi"/>
          <w:sz w:val="22"/>
          <w:szCs w:val="22"/>
        </w:rPr>
        <w:t xml:space="preserve">au cours de l’année ; </w:t>
      </w:r>
      <w:r w:rsidRPr="00FD76E7">
        <w:rPr>
          <w:rFonts w:asciiTheme="majorHAnsi" w:hAnsiTheme="majorHAnsi"/>
          <w:i/>
          <w:sz w:val="22"/>
          <w:szCs w:val="22"/>
        </w:rPr>
        <w:t>tertio</w:t>
      </w:r>
      <w:r>
        <w:rPr>
          <w:rFonts w:asciiTheme="majorHAnsi" w:hAnsiTheme="majorHAnsi"/>
          <w:sz w:val="22"/>
          <w:szCs w:val="22"/>
        </w:rPr>
        <w:t xml:space="preserve">, de 10 entretiens de recherche d’une heure trente conduits avec des anciens étudiants et intégralement retranscrits. </w:t>
      </w:r>
    </w:p>
    <w:p w14:paraId="41E84A14" w14:textId="77777777" w:rsidR="00FD76E7" w:rsidRDefault="00FD76E7" w:rsidP="00FD76E7">
      <w:pPr>
        <w:spacing w:after="120"/>
        <w:jc w:val="both"/>
        <w:rPr>
          <w:rFonts w:asciiTheme="majorHAnsi" w:hAnsiTheme="majorHAnsi"/>
          <w:sz w:val="22"/>
          <w:szCs w:val="22"/>
        </w:rPr>
      </w:pPr>
    </w:p>
    <w:p w14:paraId="076EBA5C" w14:textId="13A61A65" w:rsidR="00FD76E7" w:rsidRPr="00FD76E7" w:rsidRDefault="00FD76E7" w:rsidP="00FD76E7">
      <w:pPr>
        <w:spacing w:after="120"/>
        <w:jc w:val="both"/>
        <w:rPr>
          <w:rFonts w:asciiTheme="majorHAnsi" w:hAnsiTheme="majorHAnsi"/>
          <w:i/>
          <w:sz w:val="22"/>
          <w:szCs w:val="22"/>
        </w:rPr>
      </w:pPr>
      <w:r w:rsidRPr="00FD76E7">
        <w:rPr>
          <w:rFonts w:asciiTheme="majorHAnsi" w:hAnsiTheme="majorHAnsi"/>
          <w:i/>
          <w:sz w:val="22"/>
          <w:szCs w:val="22"/>
        </w:rPr>
        <w:t xml:space="preserve">Type d’interrogation traitée dans le cadre de la communication </w:t>
      </w:r>
    </w:p>
    <w:p w14:paraId="6A63D1B9" w14:textId="28D1FCCB" w:rsidR="009C7544" w:rsidRDefault="004A452E" w:rsidP="00E74D35">
      <w:pPr>
        <w:spacing w:after="120"/>
        <w:jc w:val="both"/>
        <w:rPr>
          <w:rFonts w:asciiTheme="majorHAnsi" w:hAnsiTheme="majorHAnsi" w:cs="Consolas"/>
          <w:sz w:val="22"/>
          <w:szCs w:val="22"/>
        </w:rPr>
      </w:pPr>
      <w:r w:rsidRPr="006B6338">
        <w:rPr>
          <w:rFonts w:asciiTheme="majorHAnsi" w:hAnsiTheme="majorHAnsi"/>
          <w:sz w:val="22"/>
          <w:szCs w:val="22"/>
        </w:rPr>
        <w:lastRenderedPageBreak/>
        <w:t xml:space="preserve">Ce dispositif formatif atypique </w:t>
      </w:r>
      <w:r w:rsidR="00FD76E7">
        <w:rPr>
          <w:rFonts w:asciiTheme="majorHAnsi" w:hAnsiTheme="majorHAnsi"/>
          <w:sz w:val="22"/>
          <w:szCs w:val="22"/>
        </w:rPr>
        <w:t>est</w:t>
      </w:r>
      <w:r w:rsidRPr="006B6338">
        <w:rPr>
          <w:rFonts w:asciiTheme="majorHAnsi" w:hAnsiTheme="majorHAnsi"/>
          <w:sz w:val="22"/>
          <w:szCs w:val="22"/>
        </w:rPr>
        <w:t xml:space="preserve"> utilisé dans cette contribution comme un analyseur du rapport au savoir des étudiants, permettant de questionner le rapport au savoir des enseignants-chercheurs.</w:t>
      </w:r>
      <w:r>
        <w:rPr>
          <w:rFonts w:asciiTheme="majorHAnsi" w:hAnsiTheme="majorHAnsi"/>
          <w:sz w:val="22"/>
          <w:szCs w:val="22"/>
        </w:rPr>
        <w:t xml:space="preserve"> </w:t>
      </w:r>
      <w:r>
        <w:rPr>
          <w:rFonts w:asciiTheme="majorHAnsi" w:hAnsiTheme="majorHAnsi" w:cs="Consolas"/>
          <w:sz w:val="22"/>
          <w:szCs w:val="22"/>
        </w:rPr>
        <w:t>En effet, nous montrerons que l</w:t>
      </w:r>
      <w:r w:rsidRPr="004A452E">
        <w:rPr>
          <w:rFonts w:asciiTheme="majorHAnsi" w:hAnsiTheme="majorHAnsi" w:cs="Consolas"/>
          <w:sz w:val="22"/>
          <w:szCs w:val="22"/>
        </w:rPr>
        <w:t>orsqu'il</w:t>
      </w:r>
      <w:r w:rsidR="00FD76E7">
        <w:rPr>
          <w:rFonts w:asciiTheme="majorHAnsi" w:hAnsiTheme="majorHAnsi" w:cs="Consolas"/>
          <w:sz w:val="22"/>
          <w:szCs w:val="22"/>
        </w:rPr>
        <w:t>s</w:t>
      </w:r>
      <w:r w:rsidRPr="004A452E">
        <w:rPr>
          <w:rFonts w:asciiTheme="majorHAnsi" w:hAnsiTheme="majorHAnsi" w:cs="Consolas"/>
          <w:sz w:val="22"/>
          <w:szCs w:val="22"/>
        </w:rPr>
        <w:t xml:space="preserve"> se trouve</w:t>
      </w:r>
      <w:r w:rsidR="00FD76E7">
        <w:rPr>
          <w:rFonts w:asciiTheme="majorHAnsi" w:hAnsiTheme="majorHAnsi" w:cs="Consolas"/>
          <w:sz w:val="22"/>
          <w:szCs w:val="22"/>
        </w:rPr>
        <w:t>nt</w:t>
      </w:r>
      <w:r w:rsidRPr="004A452E">
        <w:rPr>
          <w:rFonts w:asciiTheme="majorHAnsi" w:hAnsiTheme="majorHAnsi" w:cs="Consolas"/>
          <w:sz w:val="22"/>
          <w:szCs w:val="22"/>
        </w:rPr>
        <w:t xml:space="preserve"> confronté</w:t>
      </w:r>
      <w:r w:rsidR="00FD76E7">
        <w:rPr>
          <w:rFonts w:asciiTheme="majorHAnsi" w:hAnsiTheme="majorHAnsi" w:cs="Consolas"/>
          <w:sz w:val="22"/>
          <w:szCs w:val="22"/>
        </w:rPr>
        <w:t>s</w:t>
      </w:r>
      <w:r w:rsidRPr="004A452E">
        <w:rPr>
          <w:rFonts w:asciiTheme="majorHAnsi" w:hAnsiTheme="majorHAnsi" w:cs="Consolas"/>
          <w:sz w:val="22"/>
          <w:szCs w:val="22"/>
        </w:rPr>
        <w:t xml:space="preserve"> à l'épineuse question de </w:t>
      </w:r>
      <w:r w:rsidR="00FD76E7">
        <w:rPr>
          <w:rFonts w:asciiTheme="majorHAnsi" w:hAnsiTheme="majorHAnsi" w:cs="Consolas"/>
          <w:sz w:val="22"/>
          <w:szCs w:val="22"/>
        </w:rPr>
        <w:t>l’orientation et de la</w:t>
      </w:r>
      <w:r w:rsidRPr="004A452E">
        <w:rPr>
          <w:rFonts w:asciiTheme="majorHAnsi" w:hAnsiTheme="majorHAnsi" w:cs="Consolas"/>
          <w:sz w:val="22"/>
          <w:szCs w:val="22"/>
        </w:rPr>
        <w:t xml:space="preserve"> réorientation des étudiants, </w:t>
      </w:r>
      <w:r>
        <w:rPr>
          <w:rFonts w:asciiTheme="majorHAnsi" w:hAnsiTheme="majorHAnsi" w:cs="Consolas"/>
          <w:sz w:val="22"/>
          <w:szCs w:val="22"/>
        </w:rPr>
        <w:t>les enseignants-chercheurs</w:t>
      </w:r>
      <w:r w:rsidRPr="004A452E">
        <w:rPr>
          <w:rFonts w:asciiTheme="majorHAnsi" w:hAnsiTheme="majorHAnsi" w:cs="Consolas"/>
          <w:sz w:val="22"/>
          <w:szCs w:val="22"/>
        </w:rPr>
        <w:t xml:space="preserve"> peu</w:t>
      </w:r>
      <w:r>
        <w:rPr>
          <w:rFonts w:asciiTheme="majorHAnsi" w:hAnsiTheme="majorHAnsi" w:cs="Consolas"/>
          <w:sz w:val="22"/>
          <w:szCs w:val="22"/>
        </w:rPr>
        <w:t>ven</w:t>
      </w:r>
      <w:r w:rsidRPr="004A452E">
        <w:rPr>
          <w:rFonts w:asciiTheme="majorHAnsi" w:hAnsiTheme="majorHAnsi" w:cs="Consolas"/>
          <w:sz w:val="22"/>
          <w:szCs w:val="22"/>
        </w:rPr>
        <w:t xml:space="preserve">t profiter de cette opportunité pour interroger </w:t>
      </w:r>
      <w:r>
        <w:rPr>
          <w:rFonts w:asciiTheme="majorHAnsi" w:hAnsiTheme="majorHAnsi" w:cs="Consolas"/>
          <w:sz w:val="22"/>
          <w:szCs w:val="22"/>
        </w:rPr>
        <w:t>leur</w:t>
      </w:r>
      <w:r w:rsidRPr="004A452E">
        <w:rPr>
          <w:rFonts w:asciiTheme="majorHAnsi" w:hAnsiTheme="majorHAnsi" w:cs="Consolas"/>
          <w:sz w:val="22"/>
          <w:szCs w:val="22"/>
        </w:rPr>
        <w:t xml:space="preserve"> rapport au savoir. C'est précisément à la faveur de cette interpellation, susceptible de provoquer une métamorphose identitaire, que le sensible, l'existentiel et le vocationnel finissent par acquérir leur lettre de noblesse dans le champ éducatif et à l’Université. </w:t>
      </w:r>
    </w:p>
    <w:p w14:paraId="2CB06219" w14:textId="77777777" w:rsidR="00713A6B" w:rsidRDefault="00713A6B" w:rsidP="00E74D35">
      <w:pPr>
        <w:spacing w:after="120"/>
        <w:jc w:val="both"/>
        <w:rPr>
          <w:rFonts w:asciiTheme="majorHAnsi" w:hAnsiTheme="majorHAnsi" w:cs="Consolas"/>
          <w:sz w:val="22"/>
          <w:szCs w:val="22"/>
        </w:rPr>
      </w:pPr>
    </w:p>
    <w:p w14:paraId="4E8C4EB4" w14:textId="77777777" w:rsidR="00713A6B" w:rsidRPr="00713A6B" w:rsidRDefault="00713A6B" w:rsidP="00713A6B">
      <w:pPr>
        <w:widowControl w:val="0"/>
        <w:autoSpaceDE w:val="0"/>
        <w:autoSpaceDN w:val="0"/>
        <w:adjustRightInd w:val="0"/>
        <w:rPr>
          <w:rFonts w:asciiTheme="majorHAnsi" w:hAnsiTheme="majorHAnsi" w:cs="Consolas"/>
          <w:sz w:val="22"/>
          <w:szCs w:val="22"/>
        </w:rPr>
      </w:pPr>
      <w:r w:rsidRPr="00713A6B">
        <w:rPr>
          <w:rFonts w:asciiTheme="majorHAnsi" w:hAnsiTheme="majorHAnsi" w:cs="Consolas"/>
          <w:b/>
          <w:sz w:val="22"/>
          <w:szCs w:val="22"/>
        </w:rPr>
        <w:t>Mots-clés </w:t>
      </w:r>
      <w:r w:rsidRPr="00713A6B">
        <w:rPr>
          <w:rFonts w:asciiTheme="majorHAnsi" w:hAnsiTheme="majorHAnsi" w:cs="Consolas"/>
          <w:sz w:val="22"/>
          <w:szCs w:val="22"/>
        </w:rPr>
        <w:t>:</w:t>
      </w:r>
      <w:r>
        <w:rPr>
          <w:rFonts w:asciiTheme="majorHAnsi" w:hAnsiTheme="majorHAnsi" w:cs="Consolas"/>
          <w:sz w:val="22"/>
          <w:szCs w:val="22"/>
        </w:rPr>
        <w:t xml:space="preserve"> rapport au savoir, orientation, réorientation </w:t>
      </w:r>
    </w:p>
    <w:p w14:paraId="77B42A20" w14:textId="77777777" w:rsidR="00713A6B" w:rsidRDefault="00713A6B" w:rsidP="00713A6B">
      <w:pPr>
        <w:spacing w:after="120"/>
        <w:jc w:val="both"/>
        <w:rPr>
          <w:rFonts w:asciiTheme="majorHAnsi" w:hAnsiTheme="majorHAnsi"/>
          <w:sz w:val="22"/>
          <w:szCs w:val="22"/>
        </w:rPr>
      </w:pPr>
    </w:p>
    <w:p w14:paraId="55C10C8D" w14:textId="77777777" w:rsidR="00713A6B" w:rsidRPr="00E74D35" w:rsidRDefault="00713A6B" w:rsidP="00713A6B">
      <w:pPr>
        <w:ind w:left="3538"/>
        <w:jc w:val="both"/>
        <w:rPr>
          <w:rFonts w:asciiTheme="majorHAnsi" w:hAnsiTheme="majorHAnsi"/>
          <w:sz w:val="22"/>
          <w:szCs w:val="22"/>
        </w:rPr>
      </w:pPr>
      <w:r w:rsidRPr="00E74D35">
        <w:rPr>
          <w:rFonts w:asciiTheme="majorHAnsi" w:hAnsiTheme="majorHAnsi"/>
          <w:sz w:val="22"/>
          <w:szCs w:val="22"/>
        </w:rPr>
        <w:t xml:space="preserve">Nathanaël Wallenhorst </w:t>
      </w:r>
    </w:p>
    <w:p w14:paraId="6A0B7209" w14:textId="77777777" w:rsidR="00713A6B" w:rsidRDefault="00713A6B" w:rsidP="00713A6B">
      <w:pPr>
        <w:ind w:left="3538"/>
        <w:jc w:val="both"/>
        <w:rPr>
          <w:rFonts w:asciiTheme="majorHAnsi" w:hAnsiTheme="majorHAnsi"/>
          <w:sz w:val="22"/>
          <w:szCs w:val="22"/>
        </w:rPr>
      </w:pPr>
      <w:r w:rsidRPr="00E74D35">
        <w:rPr>
          <w:rFonts w:asciiTheme="majorHAnsi" w:hAnsiTheme="majorHAnsi"/>
          <w:sz w:val="22"/>
          <w:szCs w:val="22"/>
        </w:rPr>
        <w:t>EXPERICE – EA 3971 (Paris 8 – Paris 13)</w:t>
      </w:r>
    </w:p>
    <w:p w14:paraId="5422A3ED" w14:textId="77777777" w:rsidR="00713A6B" w:rsidRDefault="00713A6B" w:rsidP="00713A6B">
      <w:pPr>
        <w:ind w:left="3538"/>
        <w:jc w:val="both"/>
        <w:rPr>
          <w:rFonts w:asciiTheme="majorHAnsi" w:hAnsiTheme="majorHAnsi"/>
          <w:sz w:val="22"/>
          <w:szCs w:val="22"/>
        </w:rPr>
      </w:pPr>
      <w:r>
        <w:rPr>
          <w:rFonts w:asciiTheme="majorHAnsi" w:hAnsiTheme="majorHAnsi"/>
          <w:sz w:val="22"/>
          <w:szCs w:val="22"/>
        </w:rPr>
        <w:t xml:space="preserve">Docteur en Sciences de l’éducation – Doktor der Philosophie </w:t>
      </w:r>
    </w:p>
    <w:p w14:paraId="4FF7A113" w14:textId="77777777" w:rsidR="00713A6B" w:rsidRPr="00E74D35" w:rsidRDefault="00713A6B" w:rsidP="00713A6B">
      <w:pPr>
        <w:ind w:left="3538"/>
        <w:jc w:val="both"/>
        <w:rPr>
          <w:rFonts w:asciiTheme="majorHAnsi" w:hAnsiTheme="majorHAnsi"/>
          <w:sz w:val="22"/>
          <w:szCs w:val="22"/>
        </w:rPr>
      </w:pPr>
      <w:r>
        <w:rPr>
          <w:rFonts w:asciiTheme="majorHAnsi" w:hAnsiTheme="majorHAnsi"/>
          <w:sz w:val="22"/>
          <w:szCs w:val="22"/>
        </w:rPr>
        <w:t xml:space="preserve">Qualifié section 70 et section 19 </w:t>
      </w:r>
    </w:p>
    <w:p w14:paraId="69EB37E8" w14:textId="77777777" w:rsidR="00713A6B" w:rsidRDefault="00713A6B" w:rsidP="00713A6B">
      <w:pPr>
        <w:spacing w:after="120"/>
        <w:jc w:val="both"/>
        <w:rPr>
          <w:rFonts w:asciiTheme="majorHAnsi" w:hAnsiTheme="majorHAnsi"/>
          <w:sz w:val="22"/>
          <w:szCs w:val="22"/>
        </w:rPr>
      </w:pPr>
    </w:p>
    <w:p w14:paraId="7FCCAF98" w14:textId="77777777" w:rsidR="00713A6B" w:rsidRDefault="00713A6B" w:rsidP="00713A6B">
      <w:pPr>
        <w:spacing w:after="120"/>
        <w:jc w:val="both"/>
        <w:rPr>
          <w:rFonts w:asciiTheme="majorHAnsi" w:hAnsiTheme="majorHAnsi"/>
          <w:sz w:val="22"/>
          <w:szCs w:val="22"/>
        </w:rPr>
      </w:pPr>
    </w:p>
    <w:p w14:paraId="6A796522" w14:textId="77777777" w:rsidR="00713A6B" w:rsidRPr="00E74D35" w:rsidRDefault="00713A6B" w:rsidP="00713A6B">
      <w:pPr>
        <w:spacing w:after="120"/>
        <w:jc w:val="both"/>
        <w:rPr>
          <w:rFonts w:asciiTheme="majorHAnsi" w:hAnsiTheme="majorHAnsi"/>
          <w:sz w:val="22"/>
          <w:szCs w:val="22"/>
        </w:rPr>
      </w:pPr>
    </w:p>
    <w:p w14:paraId="4E29C090" w14:textId="77777777" w:rsidR="00713A6B" w:rsidRPr="00E74D35" w:rsidRDefault="00713A6B" w:rsidP="00713A6B">
      <w:pPr>
        <w:spacing w:after="120"/>
        <w:jc w:val="both"/>
        <w:rPr>
          <w:rFonts w:asciiTheme="majorHAnsi" w:hAnsiTheme="majorHAnsi"/>
          <w:b/>
          <w:sz w:val="22"/>
          <w:szCs w:val="22"/>
        </w:rPr>
      </w:pPr>
      <w:r w:rsidRPr="00E74D35">
        <w:rPr>
          <w:rFonts w:asciiTheme="majorHAnsi" w:hAnsiTheme="majorHAnsi"/>
          <w:b/>
          <w:sz w:val="22"/>
          <w:szCs w:val="22"/>
        </w:rPr>
        <w:t xml:space="preserve">Références bibliographiques </w:t>
      </w:r>
    </w:p>
    <w:p w14:paraId="32CD2DC7" w14:textId="77777777" w:rsidR="00713A6B" w:rsidRPr="00E74D35" w:rsidRDefault="00713A6B" w:rsidP="00713A6B">
      <w:pPr>
        <w:spacing w:after="120"/>
        <w:jc w:val="both"/>
        <w:rPr>
          <w:rFonts w:asciiTheme="majorHAnsi" w:hAnsiTheme="majorHAnsi"/>
          <w:sz w:val="22"/>
          <w:szCs w:val="22"/>
        </w:rPr>
      </w:pPr>
      <w:r>
        <w:rPr>
          <w:rFonts w:asciiTheme="majorHAnsi" w:hAnsiTheme="majorHAnsi"/>
          <w:sz w:val="22"/>
          <w:szCs w:val="22"/>
        </w:rPr>
        <w:t xml:space="preserve">Baumann, Z., </w:t>
      </w:r>
      <w:r w:rsidRPr="00E74D35">
        <w:rPr>
          <w:rFonts w:asciiTheme="majorHAnsi" w:hAnsiTheme="majorHAnsi"/>
          <w:i/>
          <w:sz w:val="22"/>
          <w:szCs w:val="22"/>
        </w:rPr>
        <w:t>La vie liquide</w:t>
      </w:r>
      <w:r w:rsidRPr="00E74D35">
        <w:rPr>
          <w:rFonts w:asciiTheme="majorHAnsi" w:hAnsiTheme="majorHAnsi"/>
          <w:sz w:val="22"/>
          <w:szCs w:val="22"/>
        </w:rPr>
        <w:t>, Paris, Fayard, 2013, tr. fr.</w:t>
      </w:r>
    </w:p>
    <w:p w14:paraId="0462007E" w14:textId="77777777" w:rsidR="00713A6B" w:rsidRPr="00E74D35" w:rsidRDefault="00713A6B" w:rsidP="00713A6B">
      <w:pPr>
        <w:spacing w:after="120"/>
        <w:jc w:val="both"/>
        <w:rPr>
          <w:rFonts w:asciiTheme="majorHAnsi" w:hAnsiTheme="majorHAnsi"/>
          <w:sz w:val="22"/>
          <w:szCs w:val="22"/>
        </w:rPr>
      </w:pPr>
      <w:r>
        <w:rPr>
          <w:rFonts w:asciiTheme="majorHAnsi" w:hAnsiTheme="majorHAnsi"/>
          <w:sz w:val="22"/>
          <w:szCs w:val="22"/>
        </w:rPr>
        <w:t xml:space="preserve">Boutinet, J.-P., Dominicé, P. </w:t>
      </w:r>
      <w:r w:rsidRPr="00E74D35">
        <w:rPr>
          <w:rFonts w:asciiTheme="majorHAnsi" w:hAnsiTheme="majorHAnsi"/>
          <w:sz w:val="22"/>
          <w:szCs w:val="22"/>
        </w:rPr>
        <w:t xml:space="preserve">(sous la dir.), </w:t>
      </w:r>
      <w:r w:rsidRPr="00E74D35">
        <w:rPr>
          <w:rFonts w:asciiTheme="majorHAnsi" w:hAnsiTheme="majorHAnsi"/>
          <w:i/>
          <w:sz w:val="22"/>
          <w:szCs w:val="22"/>
        </w:rPr>
        <w:t>Où sont passés les adultes ?</w:t>
      </w:r>
      <w:r w:rsidRPr="00E74D35">
        <w:rPr>
          <w:rFonts w:asciiTheme="majorHAnsi" w:hAnsiTheme="majorHAnsi"/>
          <w:sz w:val="22"/>
          <w:szCs w:val="22"/>
        </w:rPr>
        <w:t>, Paris, Téraèdre, 2009.</w:t>
      </w:r>
    </w:p>
    <w:p w14:paraId="3EB9830B" w14:textId="77777777" w:rsidR="00713A6B" w:rsidRPr="00E74D35" w:rsidRDefault="00713A6B" w:rsidP="00713A6B">
      <w:pPr>
        <w:spacing w:after="120"/>
        <w:jc w:val="both"/>
        <w:rPr>
          <w:rFonts w:asciiTheme="majorHAnsi" w:hAnsiTheme="majorHAnsi"/>
          <w:sz w:val="22"/>
          <w:szCs w:val="22"/>
        </w:rPr>
      </w:pPr>
      <w:r>
        <w:rPr>
          <w:rFonts w:asciiTheme="majorHAnsi" w:hAnsiTheme="majorHAnsi"/>
          <w:sz w:val="22"/>
          <w:szCs w:val="22"/>
        </w:rPr>
        <w:t xml:space="preserve">Danvers, </w:t>
      </w:r>
      <w:r w:rsidRPr="00E74D35">
        <w:rPr>
          <w:rFonts w:asciiTheme="majorHAnsi" w:hAnsiTheme="majorHAnsi"/>
          <w:sz w:val="22"/>
          <w:szCs w:val="22"/>
        </w:rPr>
        <w:t xml:space="preserve">F., « Penser l’accompagnement en contexte de mobilité : orienter ou s’orienter, quel dilemme ? », </w:t>
      </w:r>
      <w:r w:rsidRPr="00E74D35">
        <w:rPr>
          <w:rFonts w:asciiTheme="majorHAnsi" w:hAnsiTheme="majorHAnsi"/>
          <w:i/>
          <w:sz w:val="22"/>
          <w:szCs w:val="22"/>
        </w:rPr>
        <w:t>in</w:t>
      </w:r>
      <w:r w:rsidRPr="00E74D35">
        <w:rPr>
          <w:rFonts w:asciiTheme="majorHAnsi" w:hAnsiTheme="majorHAnsi"/>
          <w:sz w:val="22"/>
          <w:szCs w:val="22"/>
        </w:rPr>
        <w:t xml:space="preserve"> J.-P.</w:t>
      </w:r>
      <w:r>
        <w:rPr>
          <w:rFonts w:asciiTheme="majorHAnsi" w:hAnsiTheme="majorHAnsi"/>
          <w:sz w:val="22"/>
          <w:szCs w:val="22"/>
        </w:rPr>
        <w:t xml:space="preserve"> Boutinet, N. Denoyel, G. Pineau, J.-Y. Robin, </w:t>
      </w:r>
      <w:r w:rsidRPr="00E74D35">
        <w:rPr>
          <w:rFonts w:asciiTheme="majorHAnsi" w:hAnsiTheme="majorHAnsi"/>
          <w:sz w:val="22"/>
          <w:szCs w:val="22"/>
        </w:rPr>
        <w:t xml:space="preserve">(sous la dir.), </w:t>
      </w:r>
      <w:r w:rsidRPr="00E74D35">
        <w:rPr>
          <w:rFonts w:asciiTheme="majorHAnsi" w:hAnsiTheme="majorHAnsi"/>
          <w:i/>
          <w:sz w:val="22"/>
          <w:szCs w:val="22"/>
        </w:rPr>
        <w:t>Penser l’accompagnement adulte</w:t>
      </w:r>
      <w:r w:rsidRPr="00E74D35">
        <w:rPr>
          <w:rFonts w:asciiTheme="majorHAnsi" w:hAnsiTheme="majorHAnsi"/>
          <w:sz w:val="22"/>
          <w:szCs w:val="22"/>
        </w:rPr>
        <w:t>, Paris, PUF, 2007, p. 52.</w:t>
      </w:r>
    </w:p>
    <w:p w14:paraId="6DE50958" w14:textId="77777777" w:rsidR="00713A6B" w:rsidRPr="00E74D35" w:rsidRDefault="00713A6B" w:rsidP="00713A6B">
      <w:pPr>
        <w:pStyle w:val="Notedebasdepage"/>
        <w:rPr>
          <w:rFonts w:asciiTheme="majorHAnsi" w:hAnsiTheme="majorHAnsi"/>
          <w:sz w:val="22"/>
          <w:szCs w:val="22"/>
        </w:rPr>
      </w:pPr>
      <w:r w:rsidRPr="00E74D35">
        <w:rPr>
          <w:rFonts w:asciiTheme="majorHAnsi" w:hAnsiTheme="majorHAnsi"/>
          <w:sz w:val="22"/>
          <w:szCs w:val="22"/>
        </w:rPr>
        <w:t>Denman, B. D., « Comment définir l’Université du XXI</w:t>
      </w:r>
      <w:r w:rsidRPr="00E74D35">
        <w:rPr>
          <w:rFonts w:asciiTheme="majorHAnsi" w:hAnsiTheme="majorHAnsi"/>
          <w:sz w:val="22"/>
          <w:szCs w:val="22"/>
          <w:vertAlign w:val="superscript"/>
        </w:rPr>
        <w:t>ème</w:t>
      </w:r>
      <w:r w:rsidRPr="00E74D35">
        <w:rPr>
          <w:rFonts w:asciiTheme="majorHAnsi" w:hAnsiTheme="majorHAnsi"/>
          <w:sz w:val="22"/>
          <w:szCs w:val="22"/>
        </w:rPr>
        <w:t xml:space="preserve"> siècle ? », </w:t>
      </w:r>
      <w:r w:rsidRPr="00E74D35">
        <w:rPr>
          <w:rFonts w:asciiTheme="majorHAnsi" w:hAnsiTheme="majorHAnsi"/>
          <w:i/>
          <w:sz w:val="22"/>
          <w:szCs w:val="22"/>
        </w:rPr>
        <w:t>Politiques et gestion de l’enseignement supérieur</w:t>
      </w:r>
      <w:r w:rsidRPr="00E74D35">
        <w:rPr>
          <w:rFonts w:asciiTheme="majorHAnsi" w:hAnsiTheme="majorHAnsi"/>
          <w:sz w:val="22"/>
          <w:szCs w:val="22"/>
        </w:rPr>
        <w:t xml:space="preserve">, 2005/2, n°17, pp. 9-28. </w:t>
      </w:r>
    </w:p>
    <w:p w14:paraId="06A478B2" w14:textId="77777777" w:rsidR="00713A6B" w:rsidRPr="00E74D35" w:rsidRDefault="00713A6B" w:rsidP="00713A6B">
      <w:pPr>
        <w:pStyle w:val="Notedebasdepage"/>
        <w:rPr>
          <w:rFonts w:asciiTheme="majorHAnsi" w:hAnsiTheme="majorHAnsi"/>
          <w:sz w:val="22"/>
          <w:szCs w:val="22"/>
        </w:rPr>
      </w:pPr>
      <w:r w:rsidRPr="00E74D35">
        <w:rPr>
          <w:rFonts w:asciiTheme="majorHAnsi" w:hAnsiTheme="majorHAnsi"/>
          <w:sz w:val="22"/>
          <w:szCs w:val="22"/>
        </w:rPr>
        <w:t xml:space="preserve">Flipo, F., Larqué, L., « Ouvrir l’Université aux possibles démocratiques », </w:t>
      </w:r>
      <w:r w:rsidRPr="00E74D35">
        <w:rPr>
          <w:rFonts w:asciiTheme="majorHAnsi" w:hAnsiTheme="majorHAnsi"/>
          <w:i/>
          <w:sz w:val="22"/>
          <w:szCs w:val="22"/>
        </w:rPr>
        <w:t>Revue du MAUSS</w:t>
      </w:r>
      <w:r w:rsidRPr="00E74D35">
        <w:rPr>
          <w:rFonts w:asciiTheme="majorHAnsi" w:hAnsiTheme="majorHAnsi"/>
          <w:sz w:val="22"/>
          <w:szCs w:val="22"/>
        </w:rPr>
        <w:t xml:space="preserve">, 2009/1, n°33, pp. 306-326. </w:t>
      </w:r>
    </w:p>
    <w:p w14:paraId="6EB704BA" w14:textId="77777777" w:rsidR="00713A6B" w:rsidRPr="00E74D35" w:rsidRDefault="00713A6B" w:rsidP="00713A6B">
      <w:pPr>
        <w:pStyle w:val="Notedebasdepage"/>
        <w:rPr>
          <w:rFonts w:asciiTheme="majorHAnsi" w:hAnsiTheme="majorHAnsi"/>
          <w:sz w:val="22"/>
          <w:szCs w:val="22"/>
        </w:rPr>
      </w:pPr>
      <w:r w:rsidRPr="00E74D35">
        <w:rPr>
          <w:rFonts w:asciiTheme="majorHAnsi" w:hAnsiTheme="majorHAnsi"/>
          <w:sz w:val="22"/>
          <w:szCs w:val="22"/>
        </w:rPr>
        <w:t xml:space="preserve">Mistral, J., « Pour une vraie réforme de l’Université », </w:t>
      </w:r>
      <w:r w:rsidRPr="00E74D35">
        <w:rPr>
          <w:rFonts w:asciiTheme="majorHAnsi" w:hAnsiTheme="majorHAnsi"/>
          <w:i/>
          <w:sz w:val="22"/>
          <w:szCs w:val="22"/>
        </w:rPr>
        <w:t>Le Débat</w:t>
      </w:r>
      <w:r w:rsidRPr="00E74D35">
        <w:rPr>
          <w:rFonts w:asciiTheme="majorHAnsi" w:hAnsiTheme="majorHAnsi"/>
          <w:sz w:val="22"/>
          <w:szCs w:val="22"/>
        </w:rPr>
        <w:t>, 2009/4, n°156, pp. 128-143.  </w:t>
      </w:r>
    </w:p>
    <w:p w14:paraId="7E3D3905" w14:textId="77777777" w:rsidR="00713A6B" w:rsidRDefault="00713A6B" w:rsidP="00713A6B">
      <w:pPr>
        <w:spacing w:after="120"/>
        <w:jc w:val="both"/>
        <w:rPr>
          <w:rFonts w:asciiTheme="majorHAnsi" w:hAnsiTheme="majorHAnsi"/>
          <w:sz w:val="22"/>
          <w:szCs w:val="22"/>
        </w:rPr>
      </w:pPr>
      <w:r w:rsidRPr="00E74D35">
        <w:rPr>
          <w:rFonts w:asciiTheme="majorHAnsi" w:hAnsiTheme="majorHAnsi"/>
          <w:sz w:val="22"/>
          <w:szCs w:val="22"/>
        </w:rPr>
        <w:t xml:space="preserve">Nafti-Malherbe, C., Samson, G., (sous la dir.), Rapport au savoir, </w:t>
      </w:r>
      <w:r w:rsidRPr="00E74D35">
        <w:rPr>
          <w:rFonts w:asciiTheme="majorHAnsi" w:hAnsiTheme="majorHAnsi"/>
          <w:i/>
          <w:sz w:val="22"/>
          <w:szCs w:val="22"/>
        </w:rPr>
        <w:t>Esprit Critique</w:t>
      </w:r>
      <w:r w:rsidRPr="00E74D35">
        <w:rPr>
          <w:rFonts w:asciiTheme="majorHAnsi" w:hAnsiTheme="majorHAnsi"/>
          <w:sz w:val="22"/>
          <w:szCs w:val="22"/>
        </w:rPr>
        <w:t>, 2013, n°17.</w:t>
      </w:r>
    </w:p>
    <w:p w14:paraId="0DC172ED" w14:textId="77777777" w:rsidR="00713A6B" w:rsidRPr="00E74D35" w:rsidRDefault="00713A6B" w:rsidP="00713A6B">
      <w:pPr>
        <w:spacing w:after="120"/>
        <w:jc w:val="both"/>
        <w:rPr>
          <w:rFonts w:asciiTheme="majorHAnsi" w:hAnsiTheme="majorHAnsi"/>
          <w:sz w:val="22"/>
          <w:szCs w:val="22"/>
        </w:rPr>
      </w:pPr>
      <w:r>
        <w:rPr>
          <w:rFonts w:asciiTheme="majorHAnsi" w:hAnsiTheme="majorHAnsi"/>
          <w:sz w:val="22"/>
          <w:szCs w:val="22"/>
        </w:rPr>
        <w:t xml:space="preserve">Prouteau, F., </w:t>
      </w:r>
      <w:r w:rsidRPr="006B6338">
        <w:rPr>
          <w:rFonts w:asciiTheme="majorHAnsi" w:hAnsiTheme="majorHAnsi"/>
          <w:i/>
          <w:sz w:val="22"/>
          <w:szCs w:val="22"/>
        </w:rPr>
        <w:t>Former… oui mais dans quel sens ?</w:t>
      </w:r>
      <w:r>
        <w:rPr>
          <w:rFonts w:asciiTheme="majorHAnsi" w:hAnsiTheme="majorHAnsi"/>
          <w:sz w:val="22"/>
          <w:szCs w:val="22"/>
        </w:rPr>
        <w:t>, Paris, L’Harmattan, 2006.</w:t>
      </w:r>
    </w:p>
    <w:p w14:paraId="5162962F" w14:textId="77777777" w:rsidR="00713A6B" w:rsidRPr="00E74D35" w:rsidRDefault="00713A6B" w:rsidP="00713A6B">
      <w:pPr>
        <w:pStyle w:val="Notedebasdepage"/>
        <w:rPr>
          <w:rFonts w:asciiTheme="majorHAnsi" w:hAnsiTheme="majorHAnsi"/>
          <w:sz w:val="22"/>
          <w:szCs w:val="22"/>
        </w:rPr>
      </w:pPr>
      <w:r w:rsidRPr="00E74D35">
        <w:rPr>
          <w:rFonts w:asciiTheme="majorHAnsi" w:hAnsiTheme="majorHAnsi"/>
          <w:sz w:val="22"/>
          <w:szCs w:val="22"/>
        </w:rPr>
        <w:t xml:space="preserve">Rinne, R., Koivula, J., « La place nouvelle de l’Université et le choc des valeurs », </w:t>
      </w:r>
      <w:r w:rsidRPr="00E74D35">
        <w:rPr>
          <w:rFonts w:asciiTheme="majorHAnsi" w:hAnsiTheme="majorHAnsi"/>
          <w:i/>
          <w:sz w:val="22"/>
          <w:szCs w:val="22"/>
        </w:rPr>
        <w:t>Politiques et gestion de l’enseignement supérieur</w:t>
      </w:r>
      <w:r w:rsidRPr="00E74D35">
        <w:rPr>
          <w:rFonts w:asciiTheme="majorHAnsi" w:hAnsiTheme="majorHAnsi"/>
          <w:sz w:val="22"/>
          <w:szCs w:val="22"/>
        </w:rPr>
        <w:t xml:space="preserve">, 2005/3, n°17, pp. 99-132. </w:t>
      </w:r>
    </w:p>
    <w:p w14:paraId="4E2869BB" w14:textId="77777777" w:rsidR="00713A6B" w:rsidRPr="00E74D35" w:rsidRDefault="00713A6B" w:rsidP="00713A6B">
      <w:pPr>
        <w:spacing w:after="120"/>
        <w:jc w:val="both"/>
        <w:rPr>
          <w:rFonts w:asciiTheme="majorHAnsi" w:hAnsiTheme="majorHAnsi"/>
          <w:sz w:val="22"/>
          <w:szCs w:val="22"/>
        </w:rPr>
      </w:pPr>
    </w:p>
    <w:p w14:paraId="7F6D10E8" w14:textId="77777777" w:rsidR="00713A6B" w:rsidRPr="00FD76E7" w:rsidRDefault="00713A6B" w:rsidP="00713A6B">
      <w:pPr>
        <w:spacing w:after="120"/>
        <w:jc w:val="both"/>
        <w:rPr>
          <w:rFonts w:asciiTheme="majorHAnsi" w:hAnsiTheme="majorHAnsi" w:cs="Consolas"/>
          <w:sz w:val="22"/>
          <w:szCs w:val="22"/>
        </w:rPr>
      </w:pPr>
    </w:p>
    <w:p w14:paraId="7E77A1EF" w14:textId="77777777" w:rsidR="00713A6B" w:rsidRDefault="00713A6B" w:rsidP="00E74D35">
      <w:pPr>
        <w:spacing w:after="120"/>
        <w:jc w:val="both"/>
        <w:rPr>
          <w:rFonts w:asciiTheme="majorHAnsi" w:hAnsiTheme="majorHAnsi" w:cs="Consolas"/>
          <w:sz w:val="22"/>
          <w:szCs w:val="22"/>
        </w:rPr>
      </w:pPr>
    </w:p>
    <w:sectPr w:rsidR="00713A6B" w:rsidSect="00A854C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FC685" w14:textId="77777777" w:rsidR="00604E0B" w:rsidRDefault="00604E0B" w:rsidP="004D6AB1">
      <w:r>
        <w:separator/>
      </w:r>
    </w:p>
  </w:endnote>
  <w:endnote w:type="continuationSeparator" w:id="0">
    <w:p w14:paraId="19A49E5F" w14:textId="77777777" w:rsidR="00604E0B" w:rsidRDefault="00604E0B" w:rsidP="004D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FC4B6" w14:textId="77777777" w:rsidR="00604E0B" w:rsidRDefault="00604E0B" w:rsidP="004D6AB1">
      <w:r>
        <w:separator/>
      </w:r>
    </w:p>
  </w:footnote>
  <w:footnote w:type="continuationSeparator" w:id="0">
    <w:p w14:paraId="6B5EEED7" w14:textId="77777777" w:rsidR="00604E0B" w:rsidRDefault="00604E0B" w:rsidP="004D6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3A"/>
    <w:rsid w:val="0013392D"/>
    <w:rsid w:val="001526FC"/>
    <w:rsid w:val="003061CC"/>
    <w:rsid w:val="00375279"/>
    <w:rsid w:val="003C5DCD"/>
    <w:rsid w:val="004517C0"/>
    <w:rsid w:val="00467243"/>
    <w:rsid w:val="004A452E"/>
    <w:rsid w:val="004D6AB1"/>
    <w:rsid w:val="00604E0B"/>
    <w:rsid w:val="006B6338"/>
    <w:rsid w:val="00713A6B"/>
    <w:rsid w:val="007B4FF4"/>
    <w:rsid w:val="008D63CF"/>
    <w:rsid w:val="009C7544"/>
    <w:rsid w:val="00A72FAA"/>
    <w:rsid w:val="00A854CD"/>
    <w:rsid w:val="00B2413A"/>
    <w:rsid w:val="00D27F22"/>
    <w:rsid w:val="00D52845"/>
    <w:rsid w:val="00D9502E"/>
    <w:rsid w:val="00E74D35"/>
    <w:rsid w:val="00FD76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23ABF3"/>
  <w14:defaultImageDpi w14:val="300"/>
  <w15:docId w15:val="{D4AB9603-7B99-4C37-AB48-5157C6F2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2">
    <w:name w:val="heading 2"/>
    <w:basedOn w:val="Normal"/>
    <w:next w:val="Normal"/>
    <w:link w:val="Titre2Car"/>
    <w:uiPriority w:val="9"/>
    <w:unhideWhenUsed/>
    <w:qFormat/>
    <w:rsid w:val="003061C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61CC"/>
    <w:rPr>
      <w:rFonts w:asciiTheme="majorHAnsi" w:eastAsiaTheme="majorEastAsia" w:hAnsiTheme="majorHAnsi" w:cstheme="majorBidi"/>
      <w:b/>
      <w:bCs/>
      <w:color w:val="4F81BD" w:themeColor="accent1"/>
      <w:sz w:val="26"/>
      <w:szCs w:val="26"/>
      <w:lang w:val="fr-FR" w:eastAsia="en-US"/>
    </w:rPr>
  </w:style>
  <w:style w:type="paragraph" w:styleId="Paragraphedeliste">
    <w:name w:val="List Paragraph"/>
    <w:basedOn w:val="Normal"/>
    <w:qFormat/>
    <w:rsid w:val="003061CC"/>
    <w:pPr>
      <w:suppressAutoHyphens/>
      <w:ind w:left="720"/>
    </w:pPr>
    <w:rPr>
      <w:rFonts w:ascii="Times New Roman" w:eastAsia="Times New Roman" w:hAnsi="Times New Roman" w:cs="Calibri"/>
      <w:lang w:eastAsia="ar-SA"/>
    </w:rPr>
  </w:style>
  <w:style w:type="character" w:styleId="lev">
    <w:name w:val="Strong"/>
    <w:basedOn w:val="Policepardfaut"/>
    <w:uiPriority w:val="22"/>
    <w:qFormat/>
    <w:rsid w:val="003061CC"/>
    <w:rPr>
      <w:b/>
      <w:bCs/>
    </w:rPr>
  </w:style>
  <w:style w:type="paragraph" w:customStyle="1" w:styleId="Default">
    <w:name w:val="Default"/>
    <w:rsid w:val="003061CC"/>
    <w:pPr>
      <w:autoSpaceDE w:val="0"/>
      <w:autoSpaceDN w:val="0"/>
      <w:adjustRightInd w:val="0"/>
    </w:pPr>
    <w:rPr>
      <w:rFonts w:ascii="Times New Roman" w:eastAsiaTheme="minorHAnsi" w:hAnsi="Times New Roman" w:cs="Times New Roman"/>
      <w:color w:val="000000"/>
      <w:lang w:val="fr-FR" w:eastAsia="en-US"/>
    </w:rPr>
  </w:style>
  <w:style w:type="character" w:styleId="Lienhypertexte">
    <w:name w:val="Hyperlink"/>
    <w:basedOn w:val="Policepardfaut"/>
    <w:uiPriority w:val="99"/>
    <w:unhideWhenUsed/>
    <w:rsid w:val="003061CC"/>
    <w:rPr>
      <w:color w:val="0000FF" w:themeColor="hyperlink"/>
      <w:u w:val="single"/>
    </w:rPr>
  </w:style>
  <w:style w:type="character" w:styleId="CitationHTML">
    <w:name w:val="HTML Cite"/>
    <w:basedOn w:val="Policepardfaut"/>
    <w:rsid w:val="003061CC"/>
    <w:rPr>
      <w:i/>
      <w:iCs/>
    </w:rPr>
  </w:style>
  <w:style w:type="character" w:styleId="Appelnotedebasdep">
    <w:name w:val="footnote reference"/>
    <w:rsid w:val="004D6AB1"/>
    <w:rPr>
      <w:rFonts w:cs="Times New Roman"/>
      <w:vertAlign w:val="superscript"/>
    </w:rPr>
  </w:style>
  <w:style w:type="paragraph" w:styleId="Notedebasdepage">
    <w:name w:val="footnote text"/>
    <w:basedOn w:val="Normal"/>
    <w:link w:val="NotedebasdepageCar"/>
    <w:uiPriority w:val="99"/>
    <w:unhideWhenUsed/>
    <w:rsid w:val="004D6AB1"/>
    <w:pPr>
      <w:spacing w:after="120"/>
      <w:jc w:val="both"/>
    </w:pPr>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uiPriority w:val="99"/>
    <w:rsid w:val="004D6AB1"/>
    <w:rPr>
      <w:rFonts w:ascii="Calibri" w:eastAsia="Calibri" w:hAnsi="Calibri" w:cs="Times New Roman"/>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849</Words>
  <Characters>4675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IFF Europe</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Wallenhorst</dc:creator>
  <cp:keywords/>
  <dc:description/>
  <cp:lastModifiedBy>Ségolène Le Mouillour</cp:lastModifiedBy>
  <cp:revision>2</cp:revision>
  <dcterms:created xsi:type="dcterms:W3CDTF">2016-01-05T08:23:00Z</dcterms:created>
  <dcterms:modified xsi:type="dcterms:W3CDTF">2016-01-05T08:23:00Z</dcterms:modified>
</cp:coreProperties>
</file>