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F22" w:rsidRPr="00682F22" w:rsidRDefault="00682F22" w:rsidP="00682F22">
      <w:pPr>
        <w:pStyle w:val="NormalWeb"/>
        <w:shd w:val="clear" w:color="auto" w:fill="FFFFFF"/>
        <w:jc w:val="center"/>
        <w:rPr>
          <w:b/>
          <w:color w:val="151515"/>
          <w:sz w:val="28"/>
          <w:szCs w:val="18"/>
        </w:rPr>
      </w:pPr>
      <w:r w:rsidRPr="00682F22">
        <w:rPr>
          <w:b/>
          <w:color w:val="151515"/>
          <w:sz w:val="28"/>
          <w:szCs w:val="18"/>
        </w:rPr>
        <w:t>Il n’y a pas d’âge pour apprendre !</w:t>
      </w:r>
    </w:p>
    <w:p w:rsidR="00E96BAB" w:rsidRPr="00F04D2D" w:rsidRDefault="00E96BAB" w:rsidP="00E96BAB">
      <w:pPr>
        <w:pStyle w:val="NormalWeb"/>
        <w:shd w:val="clear" w:color="auto" w:fill="FFFFFF"/>
        <w:jc w:val="both"/>
        <w:rPr>
          <w:color w:val="151515"/>
          <w:szCs w:val="18"/>
        </w:rPr>
      </w:pPr>
      <w:r w:rsidRPr="00F04D2D">
        <w:rPr>
          <w:color w:val="151515"/>
          <w:szCs w:val="18"/>
        </w:rPr>
        <w:t xml:space="preserve">Les questions traversant notre recherche expérimentale émergent d'un constat pédagogique selon lequel les étudiants inscrits en faculté de Psychologie et des sciences de l'Education </w:t>
      </w:r>
      <w:r w:rsidR="004F4996" w:rsidRPr="00F04D2D">
        <w:rPr>
          <w:color w:val="151515"/>
          <w:szCs w:val="18"/>
        </w:rPr>
        <w:t xml:space="preserve">(FPSE) </w:t>
      </w:r>
      <w:r w:rsidRPr="00F04D2D">
        <w:rPr>
          <w:color w:val="151515"/>
          <w:szCs w:val="18"/>
        </w:rPr>
        <w:t xml:space="preserve">s'intéressent peu à la question de l'avancée en âge. Plusieurs hypothèses </w:t>
      </w:r>
      <w:r w:rsidR="004F4996" w:rsidRPr="00F04D2D">
        <w:rPr>
          <w:color w:val="151515"/>
          <w:szCs w:val="18"/>
        </w:rPr>
        <w:t>justifient</w:t>
      </w:r>
      <w:r w:rsidRPr="00F04D2D">
        <w:rPr>
          <w:color w:val="151515"/>
          <w:szCs w:val="18"/>
        </w:rPr>
        <w:t xml:space="preserve"> cette observation et sont fréquemment associées au principe d'âgisme</w:t>
      </w:r>
      <w:r w:rsidR="004F4996" w:rsidRPr="00F04D2D">
        <w:rPr>
          <w:color w:val="151515"/>
          <w:szCs w:val="18"/>
        </w:rPr>
        <w:t xml:space="preserve">, discrimination fondée sur des critères d’âge (Butler, 1969). </w:t>
      </w:r>
      <w:r w:rsidRPr="00F04D2D">
        <w:rPr>
          <w:color w:val="151515"/>
          <w:szCs w:val="18"/>
        </w:rPr>
        <w:t xml:space="preserve">En effet, </w:t>
      </w:r>
      <w:r w:rsidR="004F4996" w:rsidRPr="00F04D2D">
        <w:rPr>
          <w:color w:val="151515"/>
          <w:szCs w:val="18"/>
        </w:rPr>
        <w:t>des</w:t>
      </w:r>
      <w:r w:rsidRPr="00F04D2D">
        <w:rPr>
          <w:color w:val="151515"/>
          <w:szCs w:val="18"/>
        </w:rPr>
        <w:t xml:space="preserve"> auteurs observent, faute notamment d'une connaissance des p</w:t>
      </w:r>
      <w:r w:rsidR="00850649" w:rsidRPr="00F04D2D">
        <w:rPr>
          <w:color w:val="151515"/>
          <w:szCs w:val="18"/>
        </w:rPr>
        <w:t>rocessus en exergue (</w:t>
      </w:r>
      <w:proofErr w:type="spellStart"/>
      <w:r w:rsidR="00850649" w:rsidRPr="00F04D2D">
        <w:rPr>
          <w:color w:val="151515"/>
          <w:szCs w:val="18"/>
        </w:rPr>
        <w:t>Boudjemadi</w:t>
      </w:r>
      <w:proofErr w:type="spellEnd"/>
      <w:r w:rsidR="00850649" w:rsidRPr="00F04D2D">
        <w:rPr>
          <w:color w:val="151515"/>
          <w:szCs w:val="18"/>
        </w:rPr>
        <w:t xml:space="preserve"> et </w:t>
      </w:r>
      <w:proofErr w:type="spellStart"/>
      <w:r w:rsidR="00850649" w:rsidRPr="00F04D2D">
        <w:rPr>
          <w:color w:val="151515"/>
          <w:szCs w:val="18"/>
        </w:rPr>
        <w:t>Gana</w:t>
      </w:r>
      <w:proofErr w:type="spellEnd"/>
      <w:r w:rsidR="00850649" w:rsidRPr="00F04D2D">
        <w:rPr>
          <w:color w:val="151515"/>
          <w:szCs w:val="18"/>
        </w:rPr>
        <w:t xml:space="preserve">, </w:t>
      </w:r>
      <w:r w:rsidRPr="00F04D2D">
        <w:rPr>
          <w:color w:val="151515"/>
          <w:szCs w:val="18"/>
        </w:rPr>
        <w:t xml:space="preserve">2009), une assimilation de la vieillesse au déclin, aux maladies anxiogènes (Adam et al., 2013) ainsi qu'une limitation des projections </w:t>
      </w:r>
      <w:r w:rsidR="004F4996" w:rsidRPr="00F04D2D">
        <w:rPr>
          <w:color w:val="151515"/>
          <w:szCs w:val="18"/>
        </w:rPr>
        <w:t>en vue</w:t>
      </w:r>
      <w:r w:rsidRPr="00F04D2D">
        <w:rPr>
          <w:color w:val="151515"/>
          <w:szCs w:val="18"/>
        </w:rPr>
        <w:t xml:space="preserve"> de canaliser ses propres angoisses (</w:t>
      </w:r>
      <w:proofErr w:type="spellStart"/>
      <w:r w:rsidRPr="00F04D2D">
        <w:rPr>
          <w:color w:val="151515"/>
          <w:szCs w:val="18"/>
        </w:rPr>
        <w:t>Dozois</w:t>
      </w:r>
      <w:proofErr w:type="spellEnd"/>
      <w:r w:rsidRPr="00F04D2D">
        <w:rPr>
          <w:color w:val="151515"/>
          <w:szCs w:val="18"/>
        </w:rPr>
        <w:t xml:space="preserve">, 2006). </w:t>
      </w:r>
      <w:r w:rsidR="0021474E" w:rsidRPr="00F04D2D">
        <w:rPr>
          <w:color w:val="151515"/>
          <w:szCs w:val="18"/>
        </w:rPr>
        <w:t xml:space="preserve">Châtel (2008) et </w:t>
      </w:r>
      <w:proofErr w:type="spellStart"/>
      <w:r w:rsidR="0021474E" w:rsidRPr="00F04D2D">
        <w:rPr>
          <w:color w:val="151515"/>
          <w:szCs w:val="18"/>
        </w:rPr>
        <w:t>Viriot</w:t>
      </w:r>
      <w:proofErr w:type="spellEnd"/>
      <w:r w:rsidR="0021474E" w:rsidRPr="00F04D2D">
        <w:rPr>
          <w:color w:val="151515"/>
          <w:szCs w:val="18"/>
        </w:rPr>
        <w:t xml:space="preserve"> </w:t>
      </w:r>
      <w:proofErr w:type="spellStart"/>
      <w:r w:rsidR="0021474E" w:rsidRPr="00F04D2D">
        <w:rPr>
          <w:color w:val="151515"/>
          <w:szCs w:val="18"/>
        </w:rPr>
        <w:t>Durandal</w:t>
      </w:r>
      <w:proofErr w:type="spellEnd"/>
      <w:r w:rsidR="0021474E" w:rsidRPr="00F04D2D">
        <w:rPr>
          <w:color w:val="151515"/>
          <w:szCs w:val="18"/>
        </w:rPr>
        <w:t xml:space="preserve"> (2012), </w:t>
      </w:r>
      <w:r w:rsidRPr="00F04D2D">
        <w:rPr>
          <w:color w:val="151515"/>
          <w:szCs w:val="18"/>
        </w:rPr>
        <w:t xml:space="preserve">quant à </w:t>
      </w:r>
      <w:r w:rsidR="0021474E" w:rsidRPr="00F04D2D">
        <w:rPr>
          <w:color w:val="151515"/>
          <w:szCs w:val="18"/>
        </w:rPr>
        <w:t xml:space="preserve">eux, </w:t>
      </w:r>
      <w:r w:rsidR="008E0185" w:rsidRPr="00F04D2D">
        <w:rPr>
          <w:color w:val="151515"/>
          <w:szCs w:val="18"/>
        </w:rPr>
        <w:t>dénonce</w:t>
      </w:r>
      <w:r w:rsidR="0021474E" w:rsidRPr="00F04D2D">
        <w:rPr>
          <w:color w:val="151515"/>
          <w:szCs w:val="18"/>
        </w:rPr>
        <w:t>nt</w:t>
      </w:r>
      <w:r w:rsidRPr="00F04D2D">
        <w:rPr>
          <w:color w:val="151515"/>
          <w:szCs w:val="18"/>
        </w:rPr>
        <w:t xml:space="preserve"> l'existence</w:t>
      </w:r>
      <w:r w:rsidR="008E0185" w:rsidRPr="00F04D2D">
        <w:rPr>
          <w:color w:val="151515"/>
          <w:szCs w:val="18"/>
        </w:rPr>
        <w:t xml:space="preserve">, </w:t>
      </w:r>
      <w:r w:rsidRPr="00F04D2D">
        <w:rPr>
          <w:color w:val="151515"/>
          <w:szCs w:val="18"/>
        </w:rPr>
        <w:t>d'une « </w:t>
      </w:r>
      <w:r w:rsidRPr="00F04D2D">
        <w:rPr>
          <w:i/>
          <w:color w:val="151515"/>
          <w:szCs w:val="18"/>
        </w:rPr>
        <w:t>police des âges</w:t>
      </w:r>
      <w:r w:rsidRPr="00F04D2D">
        <w:rPr>
          <w:color w:val="151515"/>
          <w:szCs w:val="18"/>
        </w:rPr>
        <w:t xml:space="preserve"> » nous contraignant à penser la société à travers </w:t>
      </w:r>
      <w:r w:rsidR="004F4996" w:rsidRPr="00F04D2D">
        <w:rPr>
          <w:color w:val="151515"/>
          <w:szCs w:val="18"/>
        </w:rPr>
        <w:t>c</w:t>
      </w:r>
      <w:r w:rsidRPr="00F04D2D">
        <w:rPr>
          <w:color w:val="151515"/>
          <w:szCs w:val="18"/>
        </w:rPr>
        <w:t>e prisme de l'âge</w:t>
      </w:r>
      <w:r w:rsidR="004F4996" w:rsidRPr="00F04D2D">
        <w:rPr>
          <w:color w:val="151515"/>
          <w:szCs w:val="18"/>
        </w:rPr>
        <w:t xml:space="preserve"> inscrit d’une vision majoritairement </w:t>
      </w:r>
      <w:proofErr w:type="spellStart"/>
      <w:r w:rsidR="004F4996" w:rsidRPr="00F04D2D">
        <w:rPr>
          <w:color w:val="151515"/>
          <w:szCs w:val="18"/>
        </w:rPr>
        <w:t>défectologique</w:t>
      </w:r>
      <w:proofErr w:type="spellEnd"/>
      <w:r w:rsidR="004F4996" w:rsidRPr="00F04D2D">
        <w:rPr>
          <w:color w:val="151515"/>
          <w:szCs w:val="18"/>
        </w:rPr>
        <w:t xml:space="preserve">. </w:t>
      </w:r>
      <w:r w:rsidR="008E1DDB" w:rsidRPr="00F04D2D">
        <w:rPr>
          <w:color w:val="151515"/>
          <w:szCs w:val="18"/>
        </w:rPr>
        <w:t xml:space="preserve"> </w:t>
      </w:r>
    </w:p>
    <w:p w:rsidR="00E96BAB" w:rsidRPr="00F04D2D" w:rsidRDefault="002C1F67" w:rsidP="00E96BAB">
      <w:pPr>
        <w:pStyle w:val="NormalWeb"/>
        <w:shd w:val="clear" w:color="auto" w:fill="FFFFFF"/>
        <w:jc w:val="both"/>
        <w:rPr>
          <w:color w:val="151515"/>
          <w:szCs w:val="18"/>
        </w:rPr>
      </w:pPr>
      <w:r w:rsidRPr="00F04D2D">
        <w:rPr>
          <w:color w:val="151515"/>
          <w:szCs w:val="18"/>
        </w:rPr>
        <w:t>C</w:t>
      </w:r>
      <w:r w:rsidR="00E96BAB" w:rsidRPr="00F04D2D">
        <w:rPr>
          <w:color w:val="151515"/>
          <w:szCs w:val="18"/>
        </w:rPr>
        <w:t xml:space="preserve">et intérêt restreint des étudiants peut </w:t>
      </w:r>
      <w:r w:rsidR="004F4996" w:rsidRPr="00F04D2D">
        <w:rPr>
          <w:color w:val="151515"/>
          <w:szCs w:val="18"/>
        </w:rPr>
        <w:t>néanmoins</w:t>
      </w:r>
      <w:r w:rsidR="00E96BAB" w:rsidRPr="00F04D2D">
        <w:rPr>
          <w:color w:val="151515"/>
          <w:szCs w:val="18"/>
        </w:rPr>
        <w:t xml:space="preserve"> s'avérer paradoxal. En effet, maintenant plus que jamais, nous présentons la perspective individuelle d'appartenir un jour à la catégorie des « ainés »</w:t>
      </w:r>
      <w:r w:rsidR="008E1DDB" w:rsidRPr="00F04D2D">
        <w:rPr>
          <w:color w:val="151515"/>
          <w:szCs w:val="18"/>
        </w:rPr>
        <w:t xml:space="preserve">, faisant de </w:t>
      </w:r>
      <w:r w:rsidR="004F4996" w:rsidRPr="00F04D2D">
        <w:rPr>
          <w:color w:val="151515"/>
          <w:szCs w:val="18"/>
        </w:rPr>
        <w:t>l’âgisme une</w:t>
      </w:r>
      <w:r w:rsidR="008E1DDB" w:rsidRPr="00F04D2D">
        <w:rPr>
          <w:color w:val="151515"/>
          <w:szCs w:val="18"/>
        </w:rPr>
        <w:t xml:space="preserve"> potentielle lutte contre soi-même</w:t>
      </w:r>
      <w:r w:rsidR="00E96BAB" w:rsidRPr="00F04D2D">
        <w:rPr>
          <w:color w:val="151515"/>
          <w:szCs w:val="18"/>
        </w:rPr>
        <w:t>. En outre, la Belgique est marquée par de</w:t>
      </w:r>
      <w:r w:rsidR="004F4996" w:rsidRPr="00F04D2D">
        <w:rPr>
          <w:color w:val="151515"/>
          <w:szCs w:val="18"/>
        </w:rPr>
        <w:t xml:space="preserve">s </w:t>
      </w:r>
      <w:r w:rsidR="00E96BAB" w:rsidRPr="00F04D2D">
        <w:rPr>
          <w:color w:val="151515"/>
          <w:szCs w:val="18"/>
        </w:rPr>
        <w:t>évolutions sociodémographiques</w:t>
      </w:r>
      <w:r w:rsidR="0064243D" w:rsidRPr="00F04D2D">
        <w:rPr>
          <w:color w:val="151515"/>
          <w:szCs w:val="18"/>
        </w:rPr>
        <w:t xml:space="preserve"> sans précédent,</w:t>
      </w:r>
      <w:r w:rsidR="00E96BAB" w:rsidRPr="00F04D2D">
        <w:rPr>
          <w:color w:val="151515"/>
          <w:szCs w:val="18"/>
        </w:rPr>
        <w:t xml:space="preserve"> contribuant à l'émergence de défis</w:t>
      </w:r>
      <w:r w:rsidR="0021474E" w:rsidRPr="00F04D2D">
        <w:rPr>
          <w:color w:val="151515"/>
          <w:szCs w:val="18"/>
        </w:rPr>
        <w:t xml:space="preserve"> internationaux</w:t>
      </w:r>
      <w:r w:rsidR="00E96BAB" w:rsidRPr="00F04D2D">
        <w:rPr>
          <w:color w:val="151515"/>
          <w:szCs w:val="18"/>
        </w:rPr>
        <w:t xml:space="preserve"> en matière d'accompagnement</w:t>
      </w:r>
      <w:r w:rsidR="0064243D" w:rsidRPr="00F04D2D">
        <w:rPr>
          <w:color w:val="151515"/>
          <w:szCs w:val="18"/>
        </w:rPr>
        <w:t xml:space="preserve"> et </w:t>
      </w:r>
      <w:r w:rsidR="00E96BAB" w:rsidRPr="00F04D2D">
        <w:rPr>
          <w:color w:val="151515"/>
          <w:szCs w:val="18"/>
        </w:rPr>
        <w:t>d'éducation tout au long de la vie (</w:t>
      </w:r>
      <w:proofErr w:type="spellStart"/>
      <w:r w:rsidR="00E96BAB" w:rsidRPr="00F04D2D">
        <w:rPr>
          <w:color w:val="151515"/>
          <w:szCs w:val="18"/>
        </w:rPr>
        <w:t>Rochman</w:t>
      </w:r>
      <w:proofErr w:type="spellEnd"/>
      <w:r w:rsidR="00E96BAB" w:rsidRPr="00F04D2D">
        <w:rPr>
          <w:color w:val="151515"/>
          <w:szCs w:val="18"/>
        </w:rPr>
        <w:t xml:space="preserve"> et </w:t>
      </w:r>
      <w:r w:rsidR="0021474E" w:rsidRPr="00F04D2D">
        <w:rPr>
          <w:color w:val="151515"/>
          <w:szCs w:val="18"/>
        </w:rPr>
        <w:t>Tremblay</w:t>
      </w:r>
      <w:r w:rsidR="00E96BAB" w:rsidRPr="00F04D2D">
        <w:rPr>
          <w:color w:val="151515"/>
          <w:szCs w:val="18"/>
        </w:rPr>
        <w:t>, 2010). Dans ce contexte, de nouvelles perspectives professionnelles et d'employabilité émergent dans ces secteurs initialement décrits comme surreprésentés</w:t>
      </w:r>
      <w:r w:rsidR="004F4996" w:rsidRPr="00F04D2D">
        <w:rPr>
          <w:color w:val="151515"/>
          <w:szCs w:val="18"/>
        </w:rPr>
        <w:t>. De fait, les</w:t>
      </w:r>
      <w:r w:rsidR="00E96BAB" w:rsidRPr="00F04D2D">
        <w:rPr>
          <w:color w:val="151515"/>
          <w:szCs w:val="18"/>
        </w:rPr>
        <w:t xml:space="preserve"> politiques publiques prônent</w:t>
      </w:r>
      <w:r w:rsidR="004F4996" w:rsidRPr="00F04D2D">
        <w:rPr>
          <w:color w:val="151515"/>
          <w:szCs w:val="18"/>
        </w:rPr>
        <w:t xml:space="preserve"> désormais davantage</w:t>
      </w:r>
      <w:r w:rsidR="00E96BAB" w:rsidRPr="00F04D2D">
        <w:rPr>
          <w:color w:val="151515"/>
          <w:szCs w:val="18"/>
        </w:rPr>
        <w:t xml:space="preserve"> la promotion de l</w:t>
      </w:r>
      <w:r w:rsidR="004F4996" w:rsidRPr="00F04D2D">
        <w:rPr>
          <w:color w:val="151515"/>
          <w:szCs w:val="18"/>
        </w:rPr>
        <w:t xml:space="preserve">a santé </w:t>
      </w:r>
      <w:r w:rsidR="00E96BAB" w:rsidRPr="00F04D2D">
        <w:rPr>
          <w:color w:val="151515"/>
          <w:szCs w:val="18"/>
        </w:rPr>
        <w:t>et soulève</w:t>
      </w:r>
      <w:r w:rsidR="004F4996" w:rsidRPr="00F04D2D">
        <w:rPr>
          <w:color w:val="151515"/>
          <w:szCs w:val="18"/>
        </w:rPr>
        <w:t>nt</w:t>
      </w:r>
      <w:r w:rsidR="00E96BAB" w:rsidRPr="00F04D2D">
        <w:rPr>
          <w:color w:val="151515"/>
          <w:szCs w:val="18"/>
        </w:rPr>
        <w:t xml:space="preserve"> l'intérêt de développer de nouv</w:t>
      </w:r>
      <w:r w:rsidR="00DB244D" w:rsidRPr="00F04D2D">
        <w:rPr>
          <w:color w:val="151515"/>
          <w:szCs w:val="18"/>
        </w:rPr>
        <w:t xml:space="preserve">eaux métiers du vieillissement </w:t>
      </w:r>
      <w:r w:rsidR="00E96BAB" w:rsidRPr="00F04D2D">
        <w:rPr>
          <w:color w:val="151515"/>
          <w:szCs w:val="18"/>
        </w:rPr>
        <w:t>dans une société traversée par un taux de chômage alertant. </w:t>
      </w:r>
      <w:r w:rsidR="008E1DDB" w:rsidRPr="00F04D2D">
        <w:rPr>
          <w:color w:val="151515"/>
          <w:szCs w:val="18"/>
        </w:rPr>
        <w:t xml:space="preserve">Or, il a été démontré que l’âgisme est significativement corrélé au faible intérêt des étudiants à s’orienter vers des études et des professions destinées à la population vieillissante (Chippendale &amp; </w:t>
      </w:r>
      <w:proofErr w:type="spellStart"/>
      <w:r w:rsidR="008E1DDB" w:rsidRPr="00F04D2D">
        <w:rPr>
          <w:color w:val="151515"/>
          <w:szCs w:val="18"/>
        </w:rPr>
        <w:t>Boltz</w:t>
      </w:r>
      <w:proofErr w:type="spellEnd"/>
      <w:r w:rsidR="008E1DDB" w:rsidRPr="00F04D2D">
        <w:rPr>
          <w:color w:val="151515"/>
          <w:szCs w:val="18"/>
        </w:rPr>
        <w:t>, 2015)</w:t>
      </w:r>
      <w:r w:rsidR="00F3670A" w:rsidRPr="00F04D2D">
        <w:rPr>
          <w:color w:val="151515"/>
          <w:szCs w:val="18"/>
        </w:rPr>
        <w:t>, la pénurie actuelle et croissante du personnel gériatrique en constituant une illustration majeure (KCE, 2015)</w:t>
      </w:r>
      <w:r w:rsidR="008E1DDB" w:rsidRPr="00F04D2D">
        <w:rPr>
          <w:color w:val="151515"/>
          <w:szCs w:val="18"/>
        </w:rPr>
        <w:t xml:space="preserve">. </w:t>
      </w:r>
    </w:p>
    <w:p w:rsidR="00E96BAB" w:rsidRPr="00F04D2D" w:rsidRDefault="00E96BAB" w:rsidP="00E96BAB">
      <w:pPr>
        <w:pStyle w:val="NormalWeb"/>
        <w:shd w:val="clear" w:color="auto" w:fill="FFFFFF"/>
        <w:jc w:val="both"/>
        <w:rPr>
          <w:color w:val="151515"/>
          <w:szCs w:val="18"/>
        </w:rPr>
      </w:pPr>
      <w:r w:rsidRPr="00F04D2D">
        <w:rPr>
          <w:color w:val="151515"/>
          <w:szCs w:val="18"/>
        </w:rPr>
        <w:t xml:space="preserve">Ce questionnement </w:t>
      </w:r>
      <w:r w:rsidR="004F4996" w:rsidRPr="00F04D2D">
        <w:rPr>
          <w:color w:val="151515"/>
          <w:szCs w:val="18"/>
        </w:rPr>
        <w:t>a</w:t>
      </w:r>
      <w:r w:rsidRPr="00F04D2D">
        <w:rPr>
          <w:color w:val="151515"/>
          <w:szCs w:val="18"/>
        </w:rPr>
        <w:t xml:space="preserve"> dès lors conditionné notre recherche poursuivant l'objectif de collecter les représentations des étudiants de </w:t>
      </w:r>
      <w:r w:rsidR="004F4996" w:rsidRPr="00F04D2D">
        <w:rPr>
          <w:color w:val="151515"/>
          <w:szCs w:val="18"/>
        </w:rPr>
        <w:t>la FPSE de</w:t>
      </w:r>
      <w:r w:rsidRPr="00F04D2D">
        <w:rPr>
          <w:color w:val="151515"/>
          <w:szCs w:val="18"/>
        </w:rPr>
        <w:t xml:space="preserve"> l'UMONS à l'égard de la population vieillissante. A ce titre, un questionnaire composé d'items ouverts et fermés est diffusé de sorte à étudier leur propension à témoigner d'âgisme et ce, à l'aide d'une analyse pluri-méthodologique. En effet, notre questionnaire d'enquête se compose de zones d'évocation libre (</w:t>
      </w:r>
      <w:proofErr w:type="spellStart"/>
      <w:r w:rsidRPr="00F04D2D">
        <w:rPr>
          <w:color w:val="151515"/>
          <w:szCs w:val="18"/>
        </w:rPr>
        <w:t>Abric</w:t>
      </w:r>
      <w:proofErr w:type="spellEnd"/>
      <w:r w:rsidRPr="00F04D2D">
        <w:rPr>
          <w:color w:val="151515"/>
          <w:szCs w:val="18"/>
        </w:rPr>
        <w:t xml:space="preserve">, 2003) et hiérarchisée où le sujet se positionne quant au regard qu'il porte sur </w:t>
      </w:r>
      <w:r w:rsidR="004F4996" w:rsidRPr="00F04D2D">
        <w:rPr>
          <w:color w:val="151515"/>
          <w:szCs w:val="18"/>
        </w:rPr>
        <w:t>l’aîné</w:t>
      </w:r>
      <w:r w:rsidRPr="00F04D2D">
        <w:rPr>
          <w:color w:val="151515"/>
          <w:szCs w:val="18"/>
        </w:rPr>
        <w:t>, le vieillissement démographique et la perception relayée</w:t>
      </w:r>
      <w:r w:rsidR="0064243D" w:rsidRPr="00F04D2D">
        <w:rPr>
          <w:color w:val="151515"/>
          <w:szCs w:val="18"/>
        </w:rPr>
        <w:t xml:space="preserve"> </w:t>
      </w:r>
      <w:r w:rsidRPr="00F04D2D">
        <w:rPr>
          <w:color w:val="151515"/>
          <w:szCs w:val="18"/>
        </w:rPr>
        <w:t xml:space="preserve">par la société à l'égard de l'avancée en âge. Ces données feront l'objet d'une analyse prototypique et d'une analyse des similitudes (ADS) réalisées à l'aide du logiciel </w:t>
      </w:r>
      <w:proofErr w:type="spellStart"/>
      <w:r w:rsidRPr="00F04D2D">
        <w:rPr>
          <w:color w:val="151515"/>
          <w:szCs w:val="18"/>
        </w:rPr>
        <w:t>IRaMuTteQ</w:t>
      </w:r>
      <w:proofErr w:type="spellEnd"/>
      <w:r w:rsidRPr="00F04D2D">
        <w:rPr>
          <w:color w:val="151515"/>
          <w:szCs w:val="18"/>
        </w:rPr>
        <w:t>. En effet, l'analyse prototypique, descriptive et exploratoire, a pour dessein de dégager l'organisation du contenu de la représentation et ce, en prenant simultanément en compte la fréquence du mot usité et son rang moyen d'appar</w:t>
      </w:r>
      <w:r w:rsidR="00682F22" w:rsidRPr="00F04D2D">
        <w:rPr>
          <w:color w:val="151515"/>
          <w:szCs w:val="18"/>
        </w:rPr>
        <w:t>ition (</w:t>
      </w:r>
      <w:proofErr w:type="spellStart"/>
      <w:r w:rsidR="00682F22" w:rsidRPr="00F04D2D">
        <w:rPr>
          <w:color w:val="151515"/>
          <w:szCs w:val="18"/>
        </w:rPr>
        <w:t>Roussiau</w:t>
      </w:r>
      <w:proofErr w:type="spellEnd"/>
      <w:r w:rsidR="00682F22" w:rsidRPr="00F04D2D">
        <w:rPr>
          <w:color w:val="151515"/>
          <w:szCs w:val="18"/>
        </w:rPr>
        <w:t xml:space="preserve"> &amp; Valence, 2013</w:t>
      </w:r>
      <w:r w:rsidRPr="00F04D2D">
        <w:rPr>
          <w:color w:val="151515"/>
          <w:szCs w:val="18"/>
        </w:rPr>
        <w:t xml:space="preserve">). L'ADS, quant à elle, vise à identifier les </w:t>
      </w:r>
      <w:proofErr w:type="spellStart"/>
      <w:r w:rsidRPr="00F04D2D">
        <w:rPr>
          <w:color w:val="151515"/>
          <w:szCs w:val="18"/>
        </w:rPr>
        <w:t>co-occurrences</w:t>
      </w:r>
      <w:proofErr w:type="spellEnd"/>
      <w:r w:rsidRPr="00F04D2D">
        <w:rPr>
          <w:color w:val="151515"/>
          <w:szCs w:val="18"/>
        </w:rPr>
        <w:t xml:space="preserve"> de sorte à statuer</w:t>
      </w:r>
      <w:r w:rsidR="0064243D" w:rsidRPr="00F04D2D">
        <w:rPr>
          <w:color w:val="151515"/>
          <w:szCs w:val="18"/>
        </w:rPr>
        <w:t xml:space="preserve"> </w:t>
      </w:r>
      <w:r w:rsidRPr="00F04D2D">
        <w:rPr>
          <w:color w:val="151515"/>
          <w:szCs w:val="18"/>
        </w:rPr>
        <w:t>quant à l'organisation des relations, des communautés lexicales en vigueur et à les modéliser sous la forme d'une arborescence (Salone, 2013). L'échantillon occasionnel sera également invité à compléter l'échelle psychométrique FSA-14 (</w:t>
      </w:r>
      <w:proofErr w:type="spellStart"/>
      <w:r w:rsidRPr="00F04D2D">
        <w:rPr>
          <w:color w:val="151515"/>
          <w:szCs w:val="18"/>
        </w:rPr>
        <w:t>Boudjemadi</w:t>
      </w:r>
      <w:proofErr w:type="spellEnd"/>
      <w:r w:rsidRPr="00F04D2D">
        <w:rPr>
          <w:color w:val="151515"/>
          <w:szCs w:val="18"/>
        </w:rPr>
        <w:t xml:space="preserve"> &amp; </w:t>
      </w:r>
      <w:proofErr w:type="spellStart"/>
      <w:r w:rsidRPr="00F04D2D">
        <w:rPr>
          <w:color w:val="151515"/>
          <w:szCs w:val="18"/>
        </w:rPr>
        <w:t>Gana</w:t>
      </w:r>
      <w:proofErr w:type="spellEnd"/>
      <w:r w:rsidRPr="00F04D2D">
        <w:rPr>
          <w:color w:val="151515"/>
          <w:szCs w:val="18"/>
        </w:rPr>
        <w:t xml:space="preserve">, 2009) visant à recueillir les données auto rapportées inhérentes au versant explicite du processus d'âgisme. Ces données quantitatives, quant à elles, relèveront de la statistique descriptive et seront comparées sur base de données signalétiques préalablement identifiées, en ce compris le suivi préalable d'une formation </w:t>
      </w:r>
      <w:r w:rsidR="0064243D" w:rsidRPr="00F04D2D">
        <w:rPr>
          <w:color w:val="151515"/>
          <w:szCs w:val="18"/>
        </w:rPr>
        <w:t>gérontologique.</w:t>
      </w:r>
    </w:p>
    <w:p w:rsidR="00E96BAB" w:rsidRPr="00F04D2D" w:rsidRDefault="00E96BAB" w:rsidP="00E96BAB">
      <w:pPr>
        <w:pStyle w:val="NormalWeb"/>
        <w:shd w:val="clear" w:color="auto" w:fill="FFFFFF"/>
        <w:jc w:val="both"/>
        <w:rPr>
          <w:color w:val="151515"/>
          <w:szCs w:val="18"/>
        </w:rPr>
      </w:pPr>
      <w:r w:rsidRPr="00F04D2D">
        <w:rPr>
          <w:color w:val="151515"/>
          <w:szCs w:val="18"/>
        </w:rPr>
        <w:t xml:space="preserve">Ainsi, notre présentation mettra en perspective l'articulation établie entre la formation, la recherche et les perspectives de terrain et ce, selon une approche interdisciplinaire. En effet, tel </w:t>
      </w:r>
      <w:r w:rsidRPr="00F04D2D">
        <w:rPr>
          <w:color w:val="151515"/>
          <w:szCs w:val="18"/>
        </w:rPr>
        <w:lastRenderedPageBreak/>
        <w:t>qu'explicité supra, notre question de recherche émane d'observations personnelles</w:t>
      </w:r>
      <w:r w:rsidR="00F3670A" w:rsidRPr="00F04D2D">
        <w:rPr>
          <w:color w:val="151515"/>
          <w:szCs w:val="18"/>
        </w:rPr>
        <w:t xml:space="preserve"> selon lesquels nous sommes, comme tout un chacun, toute profession confondue, inscrit dans un processus d’avancée en âge. Au-delà d</w:t>
      </w:r>
      <w:r w:rsidR="002C1F67" w:rsidRPr="00F04D2D">
        <w:rPr>
          <w:color w:val="151515"/>
          <w:szCs w:val="18"/>
        </w:rPr>
        <w:t xml:space="preserve">e ce vécu subjectif, </w:t>
      </w:r>
      <w:r w:rsidR="00F3670A" w:rsidRPr="00F04D2D">
        <w:rPr>
          <w:color w:val="151515"/>
          <w:szCs w:val="18"/>
        </w:rPr>
        <w:t xml:space="preserve">la littérature scientifique démontre l’impact pluriel et potentiellement </w:t>
      </w:r>
      <w:proofErr w:type="spellStart"/>
      <w:r w:rsidR="00F3670A" w:rsidRPr="00F04D2D">
        <w:rPr>
          <w:color w:val="151515"/>
          <w:szCs w:val="18"/>
        </w:rPr>
        <w:t>défectologique</w:t>
      </w:r>
      <w:proofErr w:type="spellEnd"/>
      <w:r w:rsidR="00F3670A" w:rsidRPr="00F04D2D">
        <w:rPr>
          <w:color w:val="151515"/>
          <w:szCs w:val="18"/>
        </w:rPr>
        <w:t xml:space="preserve"> du regard</w:t>
      </w:r>
      <w:r w:rsidR="002C1F67" w:rsidRPr="00F04D2D">
        <w:rPr>
          <w:color w:val="151515"/>
          <w:szCs w:val="18"/>
        </w:rPr>
        <w:t xml:space="preserve"> social</w:t>
      </w:r>
      <w:r w:rsidR="00F3670A" w:rsidRPr="00F04D2D">
        <w:rPr>
          <w:color w:val="151515"/>
          <w:szCs w:val="18"/>
        </w:rPr>
        <w:t xml:space="preserve"> </w:t>
      </w:r>
      <w:r w:rsidR="002C1F67" w:rsidRPr="00F04D2D">
        <w:rPr>
          <w:color w:val="151515"/>
          <w:szCs w:val="18"/>
        </w:rPr>
        <w:t xml:space="preserve">porté </w:t>
      </w:r>
      <w:r w:rsidR="00F3670A" w:rsidRPr="00F04D2D">
        <w:rPr>
          <w:color w:val="151515"/>
          <w:szCs w:val="18"/>
        </w:rPr>
        <w:t xml:space="preserve">sur l’atteinte du seuil de la vieillesse. </w:t>
      </w:r>
      <w:r w:rsidR="002C1F67" w:rsidRPr="00F04D2D">
        <w:rPr>
          <w:color w:val="151515"/>
          <w:szCs w:val="18"/>
        </w:rPr>
        <w:t xml:space="preserve">Face à ces constats, notre question </w:t>
      </w:r>
      <w:r w:rsidR="00F3670A" w:rsidRPr="00F04D2D">
        <w:rPr>
          <w:color w:val="151515"/>
          <w:szCs w:val="18"/>
        </w:rPr>
        <w:t>souhaite mettre à l’</w:t>
      </w:r>
      <w:r w:rsidR="002C1F67" w:rsidRPr="00F04D2D">
        <w:rPr>
          <w:color w:val="151515"/>
          <w:szCs w:val="18"/>
        </w:rPr>
        <w:t xml:space="preserve">étude l’effet occasionné </w:t>
      </w:r>
      <w:r w:rsidR="0064243D" w:rsidRPr="00F04D2D">
        <w:rPr>
          <w:color w:val="151515"/>
          <w:szCs w:val="18"/>
        </w:rPr>
        <w:t xml:space="preserve">de ces perceptions </w:t>
      </w:r>
      <w:r w:rsidR="002C1F67" w:rsidRPr="00F04D2D">
        <w:rPr>
          <w:color w:val="151515"/>
          <w:szCs w:val="18"/>
        </w:rPr>
        <w:t>sur l’orientation professionnelle d’étudiants</w:t>
      </w:r>
      <w:r w:rsidR="0064243D" w:rsidRPr="00F04D2D">
        <w:rPr>
          <w:color w:val="151515"/>
          <w:szCs w:val="18"/>
        </w:rPr>
        <w:t xml:space="preserve"> et chercheurs</w:t>
      </w:r>
      <w:r w:rsidR="002C1F67" w:rsidRPr="00F04D2D">
        <w:rPr>
          <w:color w:val="151515"/>
          <w:szCs w:val="18"/>
        </w:rPr>
        <w:t xml:space="preserve"> </w:t>
      </w:r>
      <w:r w:rsidR="0064243D" w:rsidRPr="00F04D2D">
        <w:rPr>
          <w:color w:val="151515"/>
          <w:szCs w:val="18"/>
        </w:rPr>
        <w:t xml:space="preserve">ayant la possibilité de s’orienter vers un secteur en essor. </w:t>
      </w:r>
      <w:r w:rsidRPr="00F04D2D">
        <w:rPr>
          <w:color w:val="151515"/>
          <w:szCs w:val="18"/>
        </w:rPr>
        <w:t>Nous expliciterons dès lors la méthodologie employée en vue d'apporter des éléments de réponse pluriels à nos</w:t>
      </w:r>
      <w:r w:rsidR="002C1F67" w:rsidRPr="00F04D2D">
        <w:rPr>
          <w:color w:val="151515"/>
          <w:szCs w:val="18"/>
        </w:rPr>
        <w:t xml:space="preserve"> constats</w:t>
      </w:r>
      <w:r w:rsidRPr="00F04D2D">
        <w:rPr>
          <w:color w:val="151515"/>
          <w:szCs w:val="18"/>
        </w:rPr>
        <w:t xml:space="preserve"> et exposerons notre réflexion quant à l'intégration des conclusions émises en vue, non pas de laisser notre question en suspens, mais d'en assumer la complexité traduite par les actions pragmatiques qui en émaner</w:t>
      </w:r>
      <w:r w:rsidR="0064243D" w:rsidRPr="00F04D2D">
        <w:rPr>
          <w:color w:val="151515"/>
          <w:szCs w:val="18"/>
        </w:rPr>
        <w:t>ont</w:t>
      </w:r>
      <w:r w:rsidRPr="00F04D2D">
        <w:rPr>
          <w:color w:val="151515"/>
          <w:szCs w:val="18"/>
        </w:rPr>
        <w:t>.</w:t>
      </w:r>
    </w:p>
    <w:p w:rsidR="00E96BAB" w:rsidRPr="00F04D2D" w:rsidRDefault="00E96BAB" w:rsidP="00E96BAB">
      <w:pPr>
        <w:pStyle w:val="NormalWeb"/>
        <w:shd w:val="clear" w:color="auto" w:fill="FFFFFF"/>
        <w:jc w:val="both"/>
        <w:rPr>
          <w:color w:val="151515"/>
          <w:szCs w:val="18"/>
        </w:rPr>
      </w:pPr>
      <w:r w:rsidRPr="00F04D2D">
        <w:rPr>
          <w:color w:val="151515"/>
          <w:szCs w:val="18"/>
        </w:rPr>
        <w:t>Bibliographie</w:t>
      </w:r>
    </w:p>
    <w:p w:rsidR="008E0185" w:rsidRPr="00F04D2D" w:rsidRDefault="008E0185" w:rsidP="0064243D">
      <w:pPr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04D2D">
        <w:rPr>
          <w:rFonts w:ascii="Times New Roman" w:hAnsi="Times New Roman" w:cs="Times New Roman"/>
          <w:szCs w:val="24"/>
        </w:rPr>
        <w:t xml:space="preserve">Adam, &amp; al. (2013). L'âgisme et le jeunisme : conséquences trop méconnues par les cliniciens chercheurs ! </w:t>
      </w:r>
      <w:r w:rsidRPr="00F04D2D">
        <w:rPr>
          <w:rFonts w:ascii="Times New Roman" w:hAnsi="Times New Roman" w:cs="Times New Roman"/>
          <w:i/>
          <w:szCs w:val="24"/>
        </w:rPr>
        <w:t>Revue de neuropsychologie, 5</w:t>
      </w:r>
      <w:r w:rsidRPr="00F04D2D">
        <w:rPr>
          <w:rFonts w:ascii="Times New Roman" w:hAnsi="Times New Roman" w:cs="Times New Roman"/>
          <w:szCs w:val="24"/>
        </w:rPr>
        <w:t xml:space="preserve"> (1), 4-8.</w:t>
      </w:r>
    </w:p>
    <w:p w:rsidR="00682F22" w:rsidRPr="00F04D2D" w:rsidRDefault="00682F22" w:rsidP="0064243D">
      <w:pPr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spellStart"/>
      <w:r w:rsidRPr="00F04D2D">
        <w:rPr>
          <w:rFonts w:ascii="Times New Roman" w:hAnsi="Times New Roman" w:cs="Times New Roman"/>
          <w:szCs w:val="24"/>
        </w:rPr>
        <w:t>Abric</w:t>
      </w:r>
      <w:proofErr w:type="spellEnd"/>
      <w:r w:rsidRPr="00F04D2D">
        <w:rPr>
          <w:rFonts w:ascii="Times New Roman" w:hAnsi="Times New Roman" w:cs="Times New Roman"/>
          <w:szCs w:val="24"/>
        </w:rPr>
        <w:t> J.C. (2003): L’analyse structurale des représentations sociales. </w:t>
      </w:r>
      <w:r w:rsidRPr="00F04D2D">
        <w:rPr>
          <w:rFonts w:ascii="Times New Roman" w:hAnsi="Times New Roman" w:cs="Times New Roman"/>
          <w:i/>
          <w:iCs/>
          <w:szCs w:val="24"/>
        </w:rPr>
        <w:t>In</w:t>
      </w:r>
      <w:r w:rsidRPr="00F04D2D">
        <w:rPr>
          <w:rFonts w:ascii="Times New Roman" w:hAnsi="Times New Roman" w:cs="Times New Roman"/>
          <w:szCs w:val="24"/>
        </w:rPr>
        <w:t xml:space="preserve"> S. Moscovici et F. </w:t>
      </w:r>
      <w:proofErr w:type="spellStart"/>
      <w:r w:rsidRPr="00F04D2D">
        <w:rPr>
          <w:rFonts w:ascii="Times New Roman" w:hAnsi="Times New Roman" w:cs="Times New Roman"/>
          <w:szCs w:val="24"/>
        </w:rPr>
        <w:t>Buschini</w:t>
      </w:r>
      <w:proofErr w:type="spellEnd"/>
      <w:r w:rsidRPr="00F04D2D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F04D2D">
        <w:rPr>
          <w:rFonts w:ascii="Times New Roman" w:hAnsi="Times New Roman" w:cs="Times New Roman"/>
          <w:szCs w:val="24"/>
        </w:rPr>
        <w:t>Eds</w:t>
      </w:r>
      <w:proofErr w:type="spellEnd"/>
      <w:r w:rsidRPr="00F04D2D">
        <w:rPr>
          <w:rFonts w:ascii="Times New Roman" w:hAnsi="Times New Roman" w:cs="Times New Roman"/>
          <w:szCs w:val="24"/>
        </w:rPr>
        <w:t>.), </w:t>
      </w:r>
      <w:r w:rsidRPr="00F04D2D">
        <w:rPr>
          <w:rFonts w:ascii="Times New Roman" w:hAnsi="Times New Roman" w:cs="Times New Roman"/>
          <w:i/>
          <w:iCs/>
          <w:szCs w:val="24"/>
        </w:rPr>
        <w:t>Les méthodes des sciences humaines (pp. 375-392)</w:t>
      </w:r>
      <w:r w:rsidRPr="00F04D2D">
        <w:rPr>
          <w:rFonts w:ascii="Times New Roman" w:hAnsi="Times New Roman" w:cs="Times New Roman"/>
          <w:szCs w:val="24"/>
        </w:rPr>
        <w:t>. Paris : Presses Universitaires de France.</w:t>
      </w:r>
    </w:p>
    <w:p w:rsidR="008E0185" w:rsidRPr="00F04D2D" w:rsidRDefault="008E0185" w:rsidP="0064243D">
      <w:pPr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spellStart"/>
      <w:r w:rsidRPr="00F04D2D">
        <w:rPr>
          <w:rFonts w:ascii="Times New Roman" w:hAnsi="Times New Roman" w:cs="Times New Roman"/>
          <w:szCs w:val="24"/>
        </w:rPr>
        <w:t>Boudjemadi</w:t>
      </w:r>
      <w:proofErr w:type="spellEnd"/>
      <w:r w:rsidRPr="00F04D2D">
        <w:rPr>
          <w:rFonts w:ascii="Times New Roman" w:hAnsi="Times New Roman" w:cs="Times New Roman"/>
          <w:szCs w:val="24"/>
        </w:rPr>
        <w:t xml:space="preserve">, V., &amp; </w:t>
      </w:r>
      <w:proofErr w:type="spellStart"/>
      <w:r w:rsidRPr="00F04D2D">
        <w:rPr>
          <w:rFonts w:ascii="Times New Roman" w:hAnsi="Times New Roman" w:cs="Times New Roman"/>
          <w:szCs w:val="24"/>
        </w:rPr>
        <w:t>Gana</w:t>
      </w:r>
      <w:proofErr w:type="spellEnd"/>
      <w:r w:rsidRPr="00F04D2D">
        <w:rPr>
          <w:rFonts w:ascii="Times New Roman" w:hAnsi="Times New Roman" w:cs="Times New Roman"/>
          <w:szCs w:val="24"/>
        </w:rPr>
        <w:t xml:space="preserve">, K. (2009). L’âgisme : Adaptation française d’une mesure et test d’un modèle structural des effets de l’empathie, l’orientation à la dominance sociale et le dogmatisme sur l’âgisme. </w:t>
      </w:r>
      <w:r w:rsidRPr="00F04D2D">
        <w:rPr>
          <w:rFonts w:ascii="Times New Roman" w:hAnsi="Times New Roman" w:cs="Times New Roman"/>
          <w:i/>
          <w:szCs w:val="24"/>
        </w:rPr>
        <w:t>Revue Canadienne du Vieillissement, 28</w:t>
      </w:r>
      <w:r w:rsidRPr="00F04D2D">
        <w:rPr>
          <w:rFonts w:ascii="Times New Roman" w:hAnsi="Times New Roman" w:cs="Times New Roman"/>
          <w:szCs w:val="24"/>
        </w:rPr>
        <w:t xml:space="preserve">(4), 371-389. </w:t>
      </w:r>
    </w:p>
    <w:p w:rsidR="008E0185" w:rsidRPr="00F04D2D" w:rsidRDefault="008E0185" w:rsidP="0064243D">
      <w:pPr>
        <w:pStyle w:val="NormalWeb"/>
        <w:shd w:val="clear" w:color="auto" w:fill="FFFFFF"/>
        <w:ind w:firstLine="709"/>
        <w:jc w:val="both"/>
        <w:rPr>
          <w:sz w:val="22"/>
        </w:rPr>
      </w:pPr>
      <w:r w:rsidRPr="00F04D2D">
        <w:rPr>
          <w:color w:val="151515"/>
          <w:sz w:val="22"/>
          <w:szCs w:val="18"/>
        </w:rPr>
        <w:t xml:space="preserve">Butler, R.N. (1969). </w:t>
      </w:r>
      <w:r w:rsidRPr="00F04D2D">
        <w:rPr>
          <w:sz w:val="22"/>
        </w:rPr>
        <w:t>Age-</w:t>
      </w:r>
      <w:proofErr w:type="spellStart"/>
      <w:r w:rsidRPr="00F04D2D">
        <w:rPr>
          <w:sz w:val="22"/>
        </w:rPr>
        <w:t>ism</w:t>
      </w:r>
      <w:proofErr w:type="spellEnd"/>
      <w:r w:rsidRPr="00F04D2D">
        <w:rPr>
          <w:sz w:val="22"/>
        </w:rPr>
        <w:t xml:space="preserve">: </w:t>
      </w:r>
      <w:proofErr w:type="spellStart"/>
      <w:r w:rsidRPr="00F04D2D">
        <w:rPr>
          <w:sz w:val="22"/>
        </w:rPr>
        <w:t>Another</w:t>
      </w:r>
      <w:proofErr w:type="spellEnd"/>
      <w:r w:rsidRPr="00F04D2D">
        <w:rPr>
          <w:sz w:val="22"/>
        </w:rPr>
        <w:t xml:space="preserve"> </w:t>
      </w:r>
      <w:proofErr w:type="spellStart"/>
      <w:r w:rsidRPr="00F04D2D">
        <w:rPr>
          <w:sz w:val="22"/>
        </w:rPr>
        <w:t>form</w:t>
      </w:r>
      <w:proofErr w:type="spellEnd"/>
      <w:r w:rsidRPr="00F04D2D">
        <w:rPr>
          <w:sz w:val="22"/>
        </w:rPr>
        <w:t xml:space="preserve"> of </w:t>
      </w:r>
      <w:proofErr w:type="spellStart"/>
      <w:r w:rsidRPr="00F04D2D">
        <w:rPr>
          <w:sz w:val="22"/>
        </w:rPr>
        <w:t>bigotry</w:t>
      </w:r>
      <w:proofErr w:type="spellEnd"/>
      <w:r w:rsidRPr="00F04D2D">
        <w:rPr>
          <w:sz w:val="22"/>
        </w:rPr>
        <w:t xml:space="preserve">. </w:t>
      </w:r>
      <w:proofErr w:type="spellStart"/>
      <w:r w:rsidRPr="00F04D2D">
        <w:rPr>
          <w:i/>
          <w:sz w:val="22"/>
        </w:rPr>
        <w:t>Gerontologist</w:t>
      </w:r>
      <w:proofErr w:type="spellEnd"/>
      <w:r w:rsidRPr="00F04D2D">
        <w:rPr>
          <w:i/>
          <w:sz w:val="22"/>
        </w:rPr>
        <w:t>, 9</w:t>
      </w:r>
      <w:r w:rsidRPr="00F04D2D">
        <w:rPr>
          <w:rStyle w:val="ref-vol"/>
          <w:sz w:val="22"/>
        </w:rPr>
        <w:t xml:space="preserve">, </w:t>
      </w:r>
      <w:r w:rsidRPr="00F04D2D">
        <w:rPr>
          <w:sz w:val="22"/>
        </w:rPr>
        <w:t>243–246.</w:t>
      </w:r>
    </w:p>
    <w:p w:rsidR="0021474E" w:rsidRPr="00F04D2D" w:rsidRDefault="0021474E" w:rsidP="0064243D">
      <w:pPr>
        <w:pStyle w:val="NormalWeb"/>
        <w:shd w:val="clear" w:color="auto" w:fill="FFFFFF"/>
        <w:ind w:firstLine="709"/>
        <w:jc w:val="both"/>
        <w:rPr>
          <w:sz w:val="22"/>
        </w:rPr>
      </w:pPr>
      <w:r w:rsidRPr="00F04D2D">
        <w:rPr>
          <w:sz w:val="22"/>
        </w:rPr>
        <w:t xml:space="preserve">Châtel, V. (2008). </w:t>
      </w:r>
      <w:r w:rsidRPr="00F04D2D">
        <w:rPr>
          <w:i/>
          <w:sz w:val="22"/>
        </w:rPr>
        <w:t>Le temps des politiques sociales</w:t>
      </w:r>
      <w:r w:rsidRPr="00F04D2D">
        <w:rPr>
          <w:sz w:val="22"/>
        </w:rPr>
        <w:t xml:space="preserve">. Fribourg : </w:t>
      </w:r>
      <w:proofErr w:type="spellStart"/>
      <w:r w:rsidRPr="00F04D2D">
        <w:rPr>
          <w:sz w:val="22"/>
        </w:rPr>
        <w:t>Academic</w:t>
      </w:r>
      <w:proofErr w:type="spellEnd"/>
      <w:r w:rsidRPr="00F04D2D">
        <w:rPr>
          <w:sz w:val="22"/>
        </w:rPr>
        <w:t xml:space="preserve"> </w:t>
      </w:r>
      <w:proofErr w:type="spellStart"/>
      <w:r w:rsidRPr="00F04D2D">
        <w:rPr>
          <w:sz w:val="22"/>
        </w:rPr>
        <w:t>Press</w:t>
      </w:r>
      <w:proofErr w:type="spellEnd"/>
      <w:r w:rsidRPr="00F04D2D">
        <w:rPr>
          <w:sz w:val="22"/>
        </w:rPr>
        <w:t xml:space="preserve"> Fribourg.</w:t>
      </w:r>
    </w:p>
    <w:p w:rsidR="00DB244D" w:rsidRPr="00F04D2D" w:rsidRDefault="00DB244D" w:rsidP="0064243D">
      <w:pPr>
        <w:pStyle w:val="NormalWeb"/>
        <w:shd w:val="clear" w:color="auto" w:fill="FFFFFF"/>
        <w:ind w:firstLine="709"/>
        <w:jc w:val="both"/>
        <w:rPr>
          <w:sz w:val="22"/>
        </w:rPr>
      </w:pPr>
      <w:r w:rsidRPr="00F04D2D">
        <w:rPr>
          <w:sz w:val="22"/>
        </w:rPr>
        <w:t xml:space="preserve">Chippendale, T. &amp; </w:t>
      </w:r>
      <w:proofErr w:type="spellStart"/>
      <w:r w:rsidRPr="00F04D2D">
        <w:rPr>
          <w:sz w:val="22"/>
        </w:rPr>
        <w:t>Boltz</w:t>
      </w:r>
      <w:proofErr w:type="spellEnd"/>
      <w:r w:rsidRPr="00F04D2D">
        <w:rPr>
          <w:sz w:val="22"/>
        </w:rPr>
        <w:t xml:space="preserve">, M. (2015). Living Legends : </w:t>
      </w:r>
      <w:proofErr w:type="spellStart"/>
      <w:r w:rsidRPr="00F04D2D">
        <w:rPr>
          <w:sz w:val="22"/>
        </w:rPr>
        <w:t>Students</w:t>
      </w:r>
      <w:proofErr w:type="spellEnd"/>
      <w:r w:rsidRPr="00F04D2D">
        <w:rPr>
          <w:sz w:val="22"/>
        </w:rPr>
        <w:t xml:space="preserve">’ </w:t>
      </w:r>
      <w:proofErr w:type="spellStart"/>
      <w:r w:rsidRPr="00F04D2D">
        <w:rPr>
          <w:sz w:val="22"/>
        </w:rPr>
        <w:t>Responses</w:t>
      </w:r>
      <w:proofErr w:type="spellEnd"/>
      <w:r w:rsidRPr="00F04D2D">
        <w:rPr>
          <w:sz w:val="22"/>
        </w:rPr>
        <w:t xml:space="preserve"> to an </w:t>
      </w:r>
      <w:proofErr w:type="spellStart"/>
      <w:r w:rsidRPr="00F04D2D">
        <w:rPr>
          <w:sz w:val="22"/>
        </w:rPr>
        <w:t>Intergenerational</w:t>
      </w:r>
      <w:proofErr w:type="spellEnd"/>
      <w:r w:rsidRPr="00F04D2D">
        <w:rPr>
          <w:sz w:val="22"/>
        </w:rPr>
        <w:t xml:space="preserve"> Life </w:t>
      </w:r>
      <w:proofErr w:type="spellStart"/>
      <w:r w:rsidRPr="00F04D2D">
        <w:rPr>
          <w:sz w:val="22"/>
        </w:rPr>
        <w:t>Review</w:t>
      </w:r>
      <w:proofErr w:type="spellEnd"/>
      <w:r w:rsidRPr="00F04D2D">
        <w:rPr>
          <w:sz w:val="22"/>
        </w:rPr>
        <w:t xml:space="preserve"> </w:t>
      </w:r>
      <w:proofErr w:type="spellStart"/>
      <w:r w:rsidRPr="00F04D2D">
        <w:rPr>
          <w:sz w:val="22"/>
        </w:rPr>
        <w:t>Writing</w:t>
      </w:r>
      <w:proofErr w:type="spellEnd"/>
      <w:r w:rsidRPr="00F04D2D">
        <w:rPr>
          <w:sz w:val="22"/>
        </w:rPr>
        <w:t xml:space="preserve"> Program, Journal of the American </w:t>
      </w:r>
      <w:proofErr w:type="spellStart"/>
      <w:r w:rsidRPr="00F04D2D">
        <w:rPr>
          <w:sz w:val="22"/>
        </w:rPr>
        <w:t>Geriatrics</w:t>
      </w:r>
      <w:proofErr w:type="spellEnd"/>
      <w:r w:rsidRPr="00F04D2D">
        <w:rPr>
          <w:sz w:val="22"/>
        </w:rPr>
        <w:t xml:space="preserve"> Society, 63(4), 782–788.</w:t>
      </w:r>
    </w:p>
    <w:p w:rsidR="008E0185" w:rsidRPr="00F04D2D" w:rsidRDefault="008E0185" w:rsidP="0064243D">
      <w:pPr>
        <w:pStyle w:val="NormalWeb"/>
        <w:shd w:val="clear" w:color="auto" w:fill="FFFFFF"/>
        <w:ind w:firstLine="709"/>
        <w:jc w:val="both"/>
        <w:rPr>
          <w:sz w:val="22"/>
        </w:rPr>
      </w:pPr>
      <w:proofErr w:type="spellStart"/>
      <w:r w:rsidRPr="00F04D2D">
        <w:rPr>
          <w:sz w:val="22"/>
        </w:rPr>
        <w:t>Dozois</w:t>
      </w:r>
      <w:proofErr w:type="spellEnd"/>
      <w:r w:rsidRPr="00F04D2D">
        <w:rPr>
          <w:sz w:val="22"/>
        </w:rPr>
        <w:t xml:space="preserve">, E. (2006). </w:t>
      </w:r>
      <w:proofErr w:type="spellStart"/>
      <w:r w:rsidRPr="00F04D2D">
        <w:rPr>
          <w:i/>
          <w:sz w:val="22"/>
        </w:rPr>
        <w:t>Ageism</w:t>
      </w:r>
      <w:proofErr w:type="spellEnd"/>
      <w:r w:rsidRPr="00F04D2D">
        <w:rPr>
          <w:i/>
          <w:sz w:val="22"/>
        </w:rPr>
        <w:t xml:space="preserve"> : A </w:t>
      </w:r>
      <w:proofErr w:type="spellStart"/>
      <w:r w:rsidRPr="00F04D2D">
        <w:rPr>
          <w:i/>
          <w:sz w:val="22"/>
        </w:rPr>
        <w:t>review</w:t>
      </w:r>
      <w:proofErr w:type="spellEnd"/>
      <w:r w:rsidRPr="00F04D2D">
        <w:rPr>
          <w:i/>
          <w:sz w:val="22"/>
        </w:rPr>
        <w:t xml:space="preserve"> of the </w:t>
      </w:r>
      <w:proofErr w:type="spellStart"/>
      <w:r w:rsidRPr="00F04D2D">
        <w:rPr>
          <w:i/>
          <w:sz w:val="22"/>
        </w:rPr>
        <w:t>litterature</w:t>
      </w:r>
      <w:proofErr w:type="spellEnd"/>
      <w:r w:rsidRPr="00F04D2D">
        <w:rPr>
          <w:sz w:val="22"/>
        </w:rPr>
        <w:t xml:space="preserve">. Calgary </w:t>
      </w:r>
      <w:proofErr w:type="spellStart"/>
      <w:r w:rsidRPr="00F04D2D">
        <w:rPr>
          <w:sz w:val="22"/>
        </w:rPr>
        <w:t>Health</w:t>
      </w:r>
      <w:proofErr w:type="spellEnd"/>
      <w:r w:rsidRPr="00F04D2D">
        <w:rPr>
          <w:sz w:val="22"/>
        </w:rPr>
        <w:t xml:space="preserve"> </w:t>
      </w:r>
      <w:proofErr w:type="spellStart"/>
      <w:r w:rsidRPr="00F04D2D">
        <w:rPr>
          <w:sz w:val="22"/>
        </w:rPr>
        <w:t>Region</w:t>
      </w:r>
      <w:proofErr w:type="spellEnd"/>
      <w:r w:rsidRPr="00F04D2D">
        <w:rPr>
          <w:sz w:val="22"/>
        </w:rPr>
        <w:t xml:space="preserve">, </w:t>
      </w:r>
      <w:proofErr w:type="spellStart"/>
      <w:r w:rsidRPr="00F04D2D">
        <w:rPr>
          <w:sz w:val="22"/>
        </w:rPr>
        <w:t>Healthy</w:t>
      </w:r>
      <w:proofErr w:type="spellEnd"/>
      <w:r w:rsidRPr="00F04D2D">
        <w:rPr>
          <w:sz w:val="22"/>
        </w:rPr>
        <w:t xml:space="preserve"> </w:t>
      </w:r>
      <w:proofErr w:type="spellStart"/>
      <w:r w:rsidRPr="00F04D2D">
        <w:rPr>
          <w:sz w:val="22"/>
        </w:rPr>
        <w:t>Aging</w:t>
      </w:r>
      <w:proofErr w:type="spellEnd"/>
      <w:r w:rsidRPr="00F04D2D">
        <w:rPr>
          <w:sz w:val="22"/>
        </w:rPr>
        <w:t xml:space="preserve"> </w:t>
      </w:r>
      <w:proofErr w:type="spellStart"/>
      <w:r w:rsidRPr="00F04D2D">
        <w:rPr>
          <w:sz w:val="22"/>
        </w:rPr>
        <w:t>Committee</w:t>
      </w:r>
      <w:proofErr w:type="spellEnd"/>
      <w:r w:rsidRPr="00F04D2D">
        <w:rPr>
          <w:sz w:val="22"/>
        </w:rPr>
        <w:t>, 29 p.</w:t>
      </w:r>
    </w:p>
    <w:p w:rsidR="00DB244D" w:rsidRPr="00F04D2D" w:rsidRDefault="00DB244D" w:rsidP="0064243D">
      <w:pPr>
        <w:pStyle w:val="NormalWeb"/>
        <w:shd w:val="clear" w:color="auto" w:fill="FFFFFF"/>
        <w:ind w:firstLine="709"/>
        <w:jc w:val="both"/>
        <w:rPr>
          <w:sz w:val="22"/>
        </w:rPr>
      </w:pPr>
      <w:r w:rsidRPr="00F04D2D">
        <w:rPr>
          <w:sz w:val="22"/>
        </w:rPr>
        <w:t xml:space="preserve">KCE (2015). </w:t>
      </w:r>
      <w:r w:rsidRPr="00F04D2D">
        <w:rPr>
          <w:i/>
          <w:sz w:val="22"/>
        </w:rPr>
        <w:t>Synthèse : approche gériatrique globale : rôle des équipes de liaison interne gériatrique</w:t>
      </w:r>
      <w:r w:rsidRPr="00F04D2D">
        <w:rPr>
          <w:sz w:val="22"/>
        </w:rPr>
        <w:t xml:space="preserve">. [En ligne] : </w:t>
      </w:r>
      <w:hyperlink r:id="rId4" w:history="1">
        <w:r w:rsidRPr="00F04D2D">
          <w:rPr>
            <w:rStyle w:val="Lienhypertexte"/>
            <w:sz w:val="22"/>
          </w:rPr>
          <w:t>https://kce.fgov.be/sites/default/files/page_documents/KCE_245Bs_ Approche_geriatrique_globale_Synthese.pdf</w:t>
        </w:r>
      </w:hyperlink>
    </w:p>
    <w:p w:rsidR="0021474E" w:rsidRPr="00F04D2D" w:rsidRDefault="0021474E" w:rsidP="0064243D">
      <w:pPr>
        <w:pStyle w:val="NormalWeb"/>
        <w:shd w:val="clear" w:color="auto" w:fill="FFFFFF"/>
        <w:ind w:firstLine="709"/>
        <w:jc w:val="both"/>
        <w:rPr>
          <w:sz w:val="22"/>
        </w:rPr>
      </w:pPr>
      <w:proofErr w:type="spellStart"/>
      <w:r w:rsidRPr="00F04D2D">
        <w:rPr>
          <w:sz w:val="22"/>
        </w:rPr>
        <w:t>Rochman</w:t>
      </w:r>
      <w:proofErr w:type="spellEnd"/>
      <w:r w:rsidRPr="00F04D2D">
        <w:rPr>
          <w:sz w:val="22"/>
        </w:rPr>
        <w:t>, J. &amp; Tremblay, D.G. (2010). Le soutien à la participation sociale des aînés et le programme « ville amie des aînés » au Québec</w:t>
      </w:r>
      <w:r w:rsidR="00DB244D" w:rsidRPr="00F04D2D">
        <w:rPr>
          <w:sz w:val="22"/>
        </w:rPr>
        <w:t xml:space="preserve"> (</w:t>
      </w:r>
      <w:r w:rsidRPr="00F04D2D">
        <w:rPr>
          <w:sz w:val="22"/>
        </w:rPr>
        <w:t>Note de recherche n°</w:t>
      </w:r>
      <w:r w:rsidR="00DB244D" w:rsidRPr="00F04D2D">
        <w:rPr>
          <w:sz w:val="22"/>
        </w:rPr>
        <w:t xml:space="preserve"> </w:t>
      </w:r>
      <w:r w:rsidRPr="00F04D2D">
        <w:rPr>
          <w:sz w:val="22"/>
        </w:rPr>
        <w:t>2010-5 de l’</w:t>
      </w:r>
      <w:r w:rsidR="00DB244D" w:rsidRPr="00F04D2D">
        <w:rPr>
          <w:sz w:val="22"/>
        </w:rPr>
        <w:t>ARUC sir la gestion des âges et des temps sociaux). Montréal : ARUC-GATS.</w:t>
      </w:r>
    </w:p>
    <w:p w:rsidR="00682F22" w:rsidRPr="00F04D2D" w:rsidRDefault="00682F22" w:rsidP="0064243D">
      <w:pPr>
        <w:pStyle w:val="NormalWeb"/>
        <w:shd w:val="clear" w:color="auto" w:fill="FFFFFF"/>
        <w:ind w:firstLine="709"/>
        <w:jc w:val="both"/>
        <w:rPr>
          <w:sz w:val="22"/>
          <w:szCs w:val="20"/>
        </w:rPr>
      </w:pPr>
      <w:proofErr w:type="spellStart"/>
      <w:r w:rsidRPr="00F04D2D">
        <w:rPr>
          <w:sz w:val="22"/>
          <w:szCs w:val="20"/>
        </w:rPr>
        <w:t>Roussiau</w:t>
      </w:r>
      <w:proofErr w:type="spellEnd"/>
      <w:r w:rsidRPr="00F04D2D">
        <w:rPr>
          <w:sz w:val="22"/>
          <w:szCs w:val="20"/>
        </w:rPr>
        <w:t xml:space="preserve">, N. &amp; Valence, A. (2013). Interdépendance et transformation des représentations sociales en réseaux. </w:t>
      </w:r>
      <w:proofErr w:type="spellStart"/>
      <w:r w:rsidRPr="00F04D2D">
        <w:rPr>
          <w:i/>
          <w:iCs/>
          <w:sz w:val="22"/>
          <w:szCs w:val="20"/>
        </w:rPr>
        <w:t>Revista</w:t>
      </w:r>
      <w:proofErr w:type="spellEnd"/>
      <w:r w:rsidRPr="00F04D2D">
        <w:rPr>
          <w:i/>
          <w:iCs/>
          <w:sz w:val="22"/>
          <w:szCs w:val="20"/>
        </w:rPr>
        <w:t xml:space="preserve"> CES </w:t>
      </w:r>
      <w:proofErr w:type="spellStart"/>
      <w:r w:rsidRPr="00F04D2D">
        <w:rPr>
          <w:i/>
          <w:iCs/>
          <w:sz w:val="22"/>
          <w:szCs w:val="20"/>
        </w:rPr>
        <w:t>Psicología</w:t>
      </w:r>
      <w:proofErr w:type="spellEnd"/>
      <w:r w:rsidRPr="00F04D2D">
        <w:rPr>
          <w:i/>
          <w:iCs/>
          <w:sz w:val="22"/>
          <w:szCs w:val="20"/>
        </w:rPr>
        <w:t xml:space="preserve">, </w:t>
      </w:r>
      <w:r w:rsidRPr="00F04D2D">
        <w:rPr>
          <w:sz w:val="22"/>
          <w:szCs w:val="20"/>
        </w:rPr>
        <w:t>6(I), 43-59.</w:t>
      </w:r>
    </w:p>
    <w:p w:rsidR="00682F22" w:rsidRPr="00F04D2D" w:rsidRDefault="00682F22" w:rsidP="0064243D">
      <w:pPr>
        <w:pStyle w:val="NormalWeb"/>
        <w:shd w:val="clear" w:color="auto" w:fill="FFFFFF"/>
        <w:ind w:firstLine="709"/>
        <w:jc w:val="both"/>
        <w:rPr>
          <w:sz w:val="22"/>
          <w:szCs w:val="20"/>
        </w:rPr>
      </w:pPr>
      <w:r w:rsidRPr="00F04D2D">
        <w:rPr>
          <w:sz w:val="22"/>
          <w:szCs w:val="20"/>
        </w:rPr>
        <w:t xml:space="preserve">Salone, J.J. (2013). Analyse textuelle avec </w:t>
      </w:r>
      <w:proofErr w:type="spellStart"/>
      <w:r w:rsidRPr="00F04D2D">
        <w:rPr>
          <w:sz w:val="22"/>
          <w:szCs w:val="20"/>
        </w:rPr>
        <w:t>IRaMuTeQ</w:t>
      </w:r>
      <w:proofErr w:type="spellEnd"/>
      <w:r w:rsidRPr="00F04D2D">
        <w:rPr>
          <w:sz w:val="22"/>
          <w:szCs w:val="20"/>
        </w:rPr>
        <w:t xml:space="preserve"> et interprétations référentielles des programmes officiels de mathématiques en quatrième. </w:t>
      </w:r>
      <w:r w:rsidRPr="00F04D2D">
        <w:rPr>
          <w:i/>
          <w:sz w:val="22"/>
          <w:szCs w:val="20"/>
        </w:rPr>
        <w:t>Sciences-croisées, 13</w:t>
      </w:r>
      <w:r w:rsidRPr="00F04D2D">
        <w:rPr>
          <w:sz w:val="22"/>
          <w:szCs w:val="20"/>
        </w:rPr>
        <w:t xml:space="preserve">, 1-13. </w:t>
      </w:r>
    </w:p>
    <w:p w:rsidR="00E96BAB" w:rsidRPr="00E96BAB" w:rsidRDefault="0021474E" w:rsidP="0055255B">
      <w:pPr>
        <w:pStyle w:val="NormalWeb"/>
        <w:shd w:val="clear" w:color="auto" w:fill="FFFFFF"/>
        <w:ind w:firstLine="709"/>
        <w:jc w:val="both"/>
        <w:rPr>
          <w:color w:val="151515"/>
          <w:szCs w:val="18"/>
        </w:rPr>
      </w:pPr>
      <w:proofErr w:type="spellStart"/>
      <w:r w:rsidRPr="00F04D2D">
        <w:rPr>
          <w:rStyle w:val="uppercase"/>
          <w:sz w:val="22"/>
        </w:rPr>
        <w:t>Viriot</w:t>
      </w:r>
      <w:proofErr w:type="spellEnd"/>
      <w:r w:rsidRPr="00F04D2D">
        <w:rPr>
          <w:rStyle w:val="uppercase"/>
          <w:sz w:val="22"/>
        </w:rPr>
        <w:t xml:space="preserve"> </w:t>
      </w:r>
      <w:proofErr w:type="spellStart"/>
      <w:r w:rsidRPr="00F04D2D">
        <w:rPr>
          <w:rStyle w:val="uppercase"/>
          <w:sz w:val="22"/>
        </w:rPr>
        <w:t>Durandal</w:t>
      </w:r>
      <w:proofErr w:type="spellEnd"/>
      <w:r w:rsidRPr="00F04D2D">
        <w:rPr>
          <w:rStyle w:val="uppercase"/>
          <w:sz w:val="22"/>
        </w:rPr>
        <w:t xml:space="preserve">, J. P. (2012). </w:t>
      </w:r>
      <w:r w:rsidRPr="00F04D2D">
        <w:rPr>
          <w:sz w:val="22"/>
        </w:rPr>
        <w:t>Le « pouvoir gris » du lobbying au pouvoir sur  soi. », </w:t>
      </w:r>
      <w:r w:rsidRPr="00F04D2D">
        <w:rPr>
          <w:rStyle w:val="Accentuation"/>
          <w:sz w:val="22"/>
        </w:rPr>
        <w:t>Gérontologie et société</w:t>
      </w:r>
      <w:r w:rsidRPr="00F04D2D">
        <w:rPr>
          <w:sz w:val="22"/>
        </w:rPr>
        <w:t xml:space="preserve"> 4, (143), 23-38. DOI : </w:t>
      </w:r>
      <w:hyperlink r:id="rId5" w:history="1">
        <w:r w:rsidRPr="00F04D2D">
          <w:rPr>
            <w:rStyle w:val="Lienhypertexte"/>
            <w:sz w:val="22"/>
          </w:rPr>
          <w:t>10.3917/gs.143.0023</w:t>
        </w:r>
      </w:hyperlink>
      <w:r w:rsidRPr="00F04D2D">
        <w:rPr>
          <w:sz w:val="22"/>
        </w:rPr>
        <w:t>.</w:t>
      </w:r>
      <w:bookmarkStart w:id="0" w:name="_GoBack"/>
      <w:bookmarkEnd w:id="0"/>
    </w:p>
    <w:p w:rsidR="00192D03" w:rsidRDefault="00192D03"/>
    <w:sectPr w:rsidR="00192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AB"/>
    <w:rsid w:val="00192D03"/>
    <w:rsid w:val="0021474E"/>
    <w:rsid w:val="002C1F67"/>
    <w:rsid w:val="004F4996"/>
    <w:rsid w:val="0055255B"/>
    <w:rsid w:val="0064243D"/>
    <w:rsid w:val="00682F22"/>
    <w:rsid w:val="00850649"/>
    <w:rsid w:val="008E0185"/>
    <w:rsid w:val="008E1DDB"/>
    <w:rsid w:val="00DB244D"/>
    <w:rsid w:val="00E96BAB"/>
    <w:rsid w:val="00F04D2D"/>
    <w:rsid w:val="00F3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778556"/>
  <w15:docId w15:val="{880DAF34-D3F4-447C-A50E-618E4E83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BAB"/>
    <w:rPr>
      <w:rFonts w:ascii="Tahoma" w:hAnsi="Tahoma" w:cs="Tahoma"/>
      <w:sz w:val="16"/>
      <w:szCs w:val="16"/>
    </w:rPr>
  </w:style>
  <w:style w:type="character" w:customStyle="1" w:styleId="ref-journal">
    <w:name w:val="ref-journal"/>
    <w:basedOn w:val="Policepardfaut"/>
    <w:rsid w:val="00850649"/>
  </w:style>
  <w:style w:type="character" w:customStyle="1" w:styleId="ref-vol">
    <w:name w:val="ref-vol"/>
    <w:basedOn w:val="Policepardfaut"/>
    <w:rsid w:val="00850649"/>
  </w:style>
  <w:style w:type="character" w:customStyle="1" w:styleId="uppercase">
    <w:name w:val="uppercase"/>
    <w:basedOn w:val="Policepardfaut"/>
    <w:rsid w:val="00850649"/>
  </w:style>
  <w:style w:type="character" w:styleId="Accentuation">
    <w:name w:val="Emphasis"/>
    <w:basedOn w:val="Policepardfaut"/>
    <w:uiPriority w:val="20"/>
    <w:qFormat/>
    <w:rsid w:val="00850649"/>
    <w:rPr>
      <w:i/>
      <w:iCs/>
    </w:rPr>
  </w:style>
  <w:style w:type="character" w:styleId="Lienhypertexte">
    <w:name w:val="Hyperlink"/>
    <w:basedOn w:val="Policepardfaut"/>
    <w:uiPriority w:val="99"/>
    <w:unhideWhenUsed/>
    <w:rsid w:val="00850649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682F22"/>
  </w:style>
  <w:style w:type="character" w:customStyle="1" w:styleId="marquage">
    <w:name w:val="marquage"/>
    <w:basedOn w:val="Policepardfaut"/>
    <w:rsid w:val="00682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x.doi.org/10.3917/gs.143.0023" TargetMode="External"/><Relationship Id="rId4" Type="http://schemas.openxmlformats.org/officeDocument/2006/relationships/hyperlink" Target="https://kce.fgov.be/sites/default/files/page_documents/KCE_245Bs_%20Approche_geriatrique_globale_Synthes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1113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Hélène GEURTS [531845]</cp:lastModifiedBy>
  <cp:revision>2</cp:revision>
  <cp:lastPrinted>2016-04-11T10:56:00Z</cp:lastPrinted>
  <dcterms:created xsi:type="dcterms:W3CDTF">2016-04-14T12:57:00Z</dcterms:created>
  <dcterms:modified xsi:type="dcterms:W3CDTF">2016-04-14T12:57:00Z</dcterms:modified>
</cp:coreProperties>
</file>