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spacing w:line="360" w:lineRule="auto"/>
        <w:jc w:val="center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fr-FR"/>
        </w:rPr>
        <w:t>Penser les questions identitaires des jeunes accueillis en protection de l</w:t>
      </w:r>
      <w:r>
        <w:rPr>
          <w:rFonts w:hAnsi="Times New Roman Bold" w:hint="default"/>
          <w:sz w:val="24"/>
          <w:szCs w:val="24"/>
          <w:rtl w:val="0"/>
          <w:lang w:val="fr-FR"/>
        </w:rPr>
        <w:t>’</w:t>
      </w:r>
      <w:r>
        <w:rPr>
          <w:rFonts w:ascii="Times New Roman Bold"/>
          <w:sz w:val="24"/>
          <w:szCs w:val="24"/>
          <w:rtl w:val="0"/>
          <w:lang w:val="de-DE"/>
        </w:rPr>
        <w:t>enfance</w:t>
      </w:r>
      <w:r>
        <w:rPr>
          <w:rFonts w:hAnsi="Times New Roman Bold" w:hint="default"/>
          <w:sz w:val="24"/>
          <w:szCs w:val="24"/>
          <w:rtl w:val="0"/>
          <w:lang w:val="fr-FR"/>
        </w:rPr>
        <w:t> </w:t>
      </w:r>
      <w:r>
        <w:rPr>
          <w:rFonts w:ascii="Times New Roman Bold"/>
          <w:sz w:val="24"/>
          <w:szCs w:val="24"/>
          <w:rtl w:val="0"/>
          <w:lang w:val="fr-FR"/>
        </w:rPr>
        <w:t>: quelles ressources pour les professionnels</w:t>
      </w:r>
      <w:r>
        <w:rPr>
          <w:rFonts w:hAnsi="Times New Roman Bold" w:hint="default"/>
          <w:sz w:val="24"/>
          <w:szCs w:val="24"/>
          <w:rtl w:val="0"/>
          <w:lang w:val="fr-FR"/>
        </w:rPr>
        <w:t> </w:t>
      </w:r>
      <w:r>
        <w:rPr>
          <w:rFonts w:ascii="Times New Roman Bold"/>
          <w:sz w:val="24"/>
          <w:szCs w:val="24"/>
          <w:rtl w:val="0"/>
          <w:lang w:val="fr-FR"/>
        </w:rPr>
        <w:t xml:space="preserve">? </w:t>
      </w:r>
    </w:p>
    <w:p>
      <w:pPr>
        <w:pStyle w:val="Corps A"/>
        <w:spacing w:line="360" w:lineRule="auto"/>
        <w:jc w:val="center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fr-FR"/>
        </w:rPr>
        <w:t>Symposium AREF Juillet 2016</w:t>
      </w:r>
    </w:p>
    <w:p>
      <w:pPr>
        <w:pStyle w:val="Corps A"/>
        <w:spacing w:line="360" w:lineRule="auto"/>
        <w:jc w:val="center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fr-FR"/>
        </w:rPr>
        <w:t>Sarra Cha</w:t>
      </w:r>
      <w:r>
        <w:rPr>
          <w:rFonts w:hAnsi="Times New Roman Bold" w:hint="default"/>
          <w:sz w:val="24"/>
          <w:szCs w:val="24"/>
          <w:rtl w:val="0"/>
          <w:lang w:val="fr-FR"/>
        </w:rPr>
        <w:t>ï</w:t>
      </w:r>
      <w:r>
        <w:rPr>
          <w:rFonts w:ascii="Times New Roman Bold"/>
          <w:sz w:val="24"/>
          <w:szCs w:val="24"/>
          <w:rtl w:val="0"/>
          <w:lang w:val="fr-FR"/>
        </w:rPr>
        <w:t>eb</w:t>
      </w:r>
      <w:r>
        <w:rPr>
          <w:rFonts w:ascii="Times New Roman Bold" w:cs="Times New Roman Bold" w:hAnsi="Times New Roman Bold" w:eastAsia="Times New Roman Bold"/>
          <w:sz w:val="24"/>
          <w:szCs w:val="24"/>
          <w:vertAlign w:val="superscript"/>
          <w:rtl w:val="0"/>
        </w:rPr>
        <w:footnoteReference w:id="1"/>
      </w:r>
    </w:p>
    <w:p>
      <w:pPr>
        <w:pStyle w:val="Corps A"/>
        <w:spacing w:line="360" w:lineRule="auto"/>
        <w:ind w:firstLine="708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Dans le cadre de notre recherche doctorale en sociologie, nous cherchons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comprendre la mani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dont se construisent les modes 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identification des enfants plac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 majoritairement issus de minorit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 </w:t>
      </w:r>
      <w:r>
        <w:rPr>
          <w:rFonts w:hAnsi="Times New Roman" w:hint="default"/>
          <w:sz w:val="24"/>
          <w:szCs w:val="24"/>
          <w:rtl w:val="0"/>
          <w:lang w:val="fr-FR"/>
        </w:rPr>
        <w:t>–</w:t>
      </w:r>
      <w:r>
        <w:rPr>
          <w:rFonts w:ascii="Times New Roman"/>
          <w:sz w:val="24"/>
          <w:szCs w:val="24"/>
          <w:rtl w:val="0"/>
          <w:lang w:val="fr-FR"/>
        </w:rPr>
        <w:t>principalement religieuses et ethniques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– </w:t>
      </w:r>
      <w:r>
        <w:rPr>
          <w:rFonts w:ascii="Times New Roman"/>
          <w:sz w:val="24"/>
          <w:szCs w:val="24"/>
          <w:rtl w:val="0"/>
          <w:lang w:val="fr-FR"/>
        </w:rPr>
        <w:t>et de saisir comment ces questions sont pens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dans deux associations de protection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enfance qui ont un fondement religieux,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une juive et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autre catholique. La question plus sp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cifique de la diversit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des appartenances parmi les enfants plac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 n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a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es-ES_tradnl"/>
        </w:rPr>
        <w:t>que tr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s succinctement abord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e dans les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tudes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>aises (Gheorghiu, 2002) en comparaison avec 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autres pays (Thoburn, Chand, Procter, 2005), illustrant l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le contexte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 xml:space="preserve">ais relativement frileux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cet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gard. Notre objectif est double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/>
          <w:sz w:val="24"/>
          <w:szCs w:val="24"/>
          <w:rtl w:val="0"/>
          <w:lang w:val="fr-FR"/>
        </w:rPr>
        <w:t>puisque nous nous int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ressons autant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la dimension institutionnelle qu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’à </w:t>
      </w:r>
      <w:r>
        <w:rPr>
          <w:rFonts w:ascii="Times New Roman"/>
          <w:sz w:val="24"/>
          <w:szCs w:val="24"/>
          <w:rtl w:val="0"/>
          <w:lang w:val="fr-FR"/>
        </w:rPr>
        <w:t>la dimension individuelle de ces questions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/>
          <w:sz w:val="24"/>
          <w:szCs w:val="24"/>
          <w:rtl w:val="0"/>
          <w:lang w:val="fr-FR"/>
        </w:rPr>
        <w:t>; pour ce faire, nous avons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recueilli environ 25 r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cits de vie de personnes anciennement plac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 et men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25 entretiens avec des professionnels dans les deux associations, en plus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observations men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es dans les deux lieux. </w:t>
      </w:r>
    </w:p>
    <w:p>
      <w:pPr>
        <w:pStyle w:val="Corps A"/>
        <w:spacing w:line="360" w:lineRule="auto"/>
        <w:ind w:firstLine="708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 nous int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ressant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abord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comprendre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ce qui fait sens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pour les individus dans leur exp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rience de placement au regard de leurs modes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identification, nous nous demandons sur quelles dimensions identitaires les individus mettent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accent dans la mise en r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cit de leur parcours de placement, comment ils sont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identifi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 xml:space="preserve">s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par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autres et comment ils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s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 xml:space="preserve">auto-identifient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–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pour reprendre la double dimension contenue dans la notion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en-US"/>
        </w:rPr>
        <w:t xml:space="preserve">identification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finie par Rogers Brubaker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–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. Ensuite, en interrogeant les professionnels, nous avons souhait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comprendre sur quoi se basent les deux associations pour pouvoir proposer un espace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identification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partir duquel les jeunes plac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s peuvent se construire. </w:t>
      </w:r>
    </w:p>
    <w:p>
      <w:pPr>
        <w:pStyle w:val="Corps A"/>
        <w:spacing w:line="360" w:lineRule="auto"/>
        <w:ind w:firstLine="708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Les r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sultats de recherche dont nous disposons aujourd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hui ainsi que ceux attendus nous permettent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j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aller plus loin dans la compr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hension de ce qui peut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faire monde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autour de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enfant plac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 au-del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de la seule question de la stabilit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du placement. C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est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imbrication entre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espace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identification propos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par les lieux de placement, les modes de relations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velopp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s avec les parents et avec des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autruis significatifs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en placement, imbrication qu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il faut penser comme venant 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ajouter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la question de la stabilit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du placement. Il nous semble que ces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ments et leurs d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clinaisons dans les diff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rents parcours, peuvent amener des savoirs pour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action int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ressants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mobiliser. </w:t>
      </w:r>
    </w:p>
    <w:p>
      <w:pPr>
        <w:pStyle w:val="Corps A"/>
        <w:spacing w:line="360" w:lineRule="auto"/>
        <w:ind w:firstLine="708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Corps A"/>
        <w:spacing w:line="360" w:lineRule="auto"/>
        <w:ind w:firstLine="708"/>
        <w:jc w:val="both"/>
        <w:rPr>
          <w:rFonts w:ascii="Cambria" w:cs="Cambria" w:hAnsi="Cambria" w:eastAsia="Cambria"/>
          <w:sz w:val="24"/>
          <w:szCs w:val="24"/>
          <w:lang w:val="en-US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Bibliographie s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lective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 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: </w:t>
      </w:r>
    </w:p>
    <w:p>
      <w:pPr>
        <w:pStyle w:val="Corps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BARN R., ANDREW L., MANTOVANI N.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ascii="Times New Roman"/>
          <w:sz w:val="24"/>
          <w:szCs w:val="24"/>
          <w:rtl w:val="0"/>
          <w:lang w:val="en-US"/>
        </w:rPr>
        <w:t>2005</w:t>
      </w:r>
      <w:r>
        <w:rPr>
          <w:rFonts w:ascii="Times New Roman"/>
          <w:sz w:val="24"/>
          <w:szCs w:val="24"/>
          <w:rtl w:val="0"/>
          <w:lang w:val="en-US"/>
        </w:rPr>
        <w:t>).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Life after care. The experiences of young people from different ethnic groups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 xml:space="preserve"> York : Joseph Rowntree Foundation. </w:t>
      </w:r>
    </w:p>
    <w:p>
      <w:pPr>
        <w:pStyle w:val="Corps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BRUBAKER, R.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(2001).</w:t>
      </w:r>
      <w:r>
        <w:rPr>
          <w:rFonts w:ascii="Trebuchet MS"/>
          <w:sz w:val="24"/>
          <w:szCs w:val="24"/>
          <w:rtl w:val="0"/>
          <w:lang w:val="fr-FR"/>
        </w:rPr>
        <w:t xml:space="preserve">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Au-del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à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de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identit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é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.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Actes de la recherche en sciences sociales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, 139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 xml:space="preserve"> (4)</w:t>
      </w:r>
      <w:r>
        <w:rPr>
          <w:rFonts w:ascii="Cambria" w:cs="Cambria" w:hAnsi="Cambria" w:eastAsia="Cambria"/>
          <w:sz w:val="24"/>
          <w:szCs w:val="24"/>
          <w:rtl w:val="0"/>
          <w:lang w:val="pt-PT"/>
        </w:rPr>
        <w:t>, 66-85.</w:t>
      </w:r>
    </w:p>
    <w:p>
      <w:pPr>
        <w:pStyle w:val="Corps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GHEORGHIU M., LABACHE L., LEGRAND L.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et al.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(2002).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Rapport final de la recherche longitudinale sur le devenir des personnes sorties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ASE en Seine-Saint-Denis entre 1980 et 2000</w:t>
      </w:r>
      <w:r>
        <w:rPr>
          <w:rFonts w:ascii="Times New Roman"/>
          <w:sz w:val="24"/>
          <w:szCs w:val="24"/>
          <w:rtl w:val="0"/>
          <w:lang w:val="fr-FR"/>
        </w:rPr>
        <w:t>, Bobigny.</w:t>
      </w:r>
    </w:p>
    <w:p>
      <w:pPr>
        <w:pStyle w:val="Corps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RAMOS, E.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(2012).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Les "racines"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: une territorialisation de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identit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qui fragmente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. Dans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MOREL-BROCHET, A.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 ORTAR N. (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dir.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 xml:space="preserve">), 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La fabrique des modes d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i w:val="1"/>
          <w:iCs w:val="1"/>
          <w:sz w:val="24"/>
          <w:szCs w:val="24"/>
          <w:rtl w:val="0"/>
          <w:lang w:val="fr-FR"/>
        </w:rPr>
        <w:t>habiter. Homme, lieux et milieux de vie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, Paris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 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: L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’</w:t>
      </w:r>
      <w:r>
        <w:rPr>
          <w:rFonts w:ascii="Cambria" w:cs="Cambria" w:hAnsi="Cambria" w:eastAsia="Cambria"/>
          <w:sz w:val="24"/>
          <w:szCs w:val="24"/>
          <w:rtl w:val="0"/>
          <w:lang w:val="fr-FR"/>
        </w:rPr>
        <w:t>Harmattan, pp.57-68.</w:t>
      </w:r>
    </w:p>
    <w:p>
      <w:pPr>
        <w:pStyle w:val="Corps A"/>
        <w:spacing w:line="240" w:lineRule="auto"/>
        <w:jc w:val="both"/>
      </w:pPr>
      <w:r>
        <w:rPr>
          <w:rFonts w:ascii="Times New Roman"/>
          <w:sz w:val="24"/>
          <w:szCs w:val="24"/>
          <w:rtl w:val="0"/>
          <w:lang w:val="fr-FR"/>
        </w:rPr>
        <w:t xml:space="preserve">THOBURN J., CHAND A., PROCTER J. </w:t>
      </w:r>
      <w:r>
        <w:rPr>
          <w:rFonts w:ascii="Times New Roman"/>
          <w:sz w:val="24"/>
          <w:szCs w:val="24"/>
          <w:rtl w:val="0"/>
          <w:lang w:val="fr-FR"/>
        </w:rPr>
        <w:t>(</w:t>
      </w:r>
      <w:r>
        <w:rPr>
          <w:rFonts w:ascii="Times New Roman"/>
          <w:sz w:val="24"/>
          <w:szCs w:val="24"/>
          <w:rtl w:val="0"/>
          <w:lang w:val="fr-FR"/>
        </w:rPr>
        <w:t>2005</w:t>
      </w:r>
      <w:r>
        <w:rPr>
          <w:rFonts w:ascii="Times New Roman"/>
          <w:sz w:val="24"/>
          <w:szCs w:val="24"/>
          <w:rtl w:val="0"/>
          <w:lang w:val="fr-FR"/>
        </w:rPr>
        <w:t>).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 Child welfare services for minority ethnic families,</w:t>
      </w:r>
      <w:r>
        <w:rPr>
          <w:rFonts w:ascii="Times New Roman"/>
          <w:sz w:val="24"/>
          <w:szCs w:val="24"/>
          <w:rtl w:val="0"/>
          <w:lang w:val="en-US"/>
        </w:rPr>
        <w:t xml:space="preserve"> London : Jessica Kingsley Publishers.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Times New Roman Bold" w:cs="Times New Roman Bold" w:hAnsi="Times New Roman Bold" w:eastAsia="Times New Roman Bold"/>
          <w:sz w:val="24"/>
          <w:szCs w:val="24"/>
          <w:vertAlign w:val="superscript"/>
          <w:rtl w:val="0"/>
        </w:rPr>
        <w:footnoteRef/>
      </w:r>
      <w:r>
        <w:rPr>
          <w:rFonts w:ascii="Trebuchet MS"/>
          <w:sz w:val="20"/>
          <w:szCs w:val="20"/>
          <w:rtl w:val="0"/>
          <w:lang w:val="fr-FR"/>
        </w:rPr>
        <w:t xml:space="preserve"> 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Dynamiques Europ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é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ennes (DynamE, UMR 7367), Universit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de Strasbourg, MISHA, 5, All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é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e du G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é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n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é</w:t>
      </w:r>
      <w:r>
        <w:rPr>
          <w:rFonts w:ascii="Cambria" w:cs="Cambria" w:hAnsi="Cambria" w:eastAsia="Cambria"/>
          <w:sz w:val="20"/>
          <w:szCs w:val="20"/>
          <w:rtl w:val="0"/>
          <w:lang w:val="fr-FR"/>
        </w:rPr>
        <w:t>ral Rouvillois, 67083 Strasbourg.</w:t>
      </w:r>
      <w:r>
        <w:rPr>
          <w:rFonts w:ascii="Century Schoolbook"/>
          <w:sz w:val="20"/>
          <w:szCs w:val="20"/>
          <w:rtl w:val="0"/>
          <w:lang w:val="fr-FR"/>
        </w:rPr>
        <w:t xml:space="preserve"> Site internet du laboratoire</w:t>
      </w:r>
      <w:r>
        <w:rPr>
          <w:rFonts w:hAnsi="Century Schoolbook" w:hint="default"/>
          <w:sz w:val="20"/>
          <w:szCs w:val="20"/>
          <w:rtl w:val="0"/>
          <w:lang w:val="fr-FR"/>
        </w:rPr>
        <w:t> </w:t>
      </w:r>
      <w:r>
        <w:rPr>
          <w:rFonts w:ascii="Century Schoolbook"/>
          <w:sz w:val="20"/>
          <w:szCs w:val="20"/>
          <w:rtl w:val="0"/>
          <w:lang w:val="fr-FR"/>
        </w:rPr>
        <w:t xml:space="preserve">: </w:t>
      </w:r>
      <w:hyperlink r:id="rId1" w:history="1">
        <w:r>
          <w:rPr>
            <w:rStyle w:val="Hyperlink.0"/>
            <w:rFonts w:ascii="Century Schoolbook"/>
            <w:color w:val="0000ff"/>
            <w:sz w:val="20"/>
            <w:szCs w:val="20"/>
            <w:u w:val="single" w:color="0000ff"/>
            <w:rtl w:val="0"/>
            <w:lang w:val="fr-FR"/>
          </w:rPr>
          <w:t>http://dyname.unistra.fr/index.php?id=3872</w:t>
        </w:r>
      </w:hyperlink>
      <w:r>
        <w:rPr>
          <w:rFonts w:ascii="Century Schoolbook"/>
          <w:sz w:val="20"/>
          <w:szCs w:val="20"/>
          <w:rtl w:val="0"/>
          <w:lang w:val="fr-FR"/>
        </w:rPr>
        <w:t xml:space="preserve">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Century Schoolbook" w:cs="Century Schoolbook" w:hAnsi="Century Schoolbook" w:eastAsia="Century Schoolbook"/>
      <w:color w:val="0000ff"/>
      <w:sz w:val="20"/>
      <w:szCs w:val="20"/>
      <w:u w:val="single" w:color="0000ff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dyname.unistra.fr/index.php?id=3872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