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76" w:rsidRPr="00717FCB" w:rsidRDefault="00863804" w:rsidP="00D71176">
      <w:pPr>
        <w:spacing w:after="0"/>
        <w:rPr>
          <w:rFonts w:ascii="Times New Roman" w:hAnsi="Times New Roman" w:cs="Times"/>
          <w:b/>
          <w:szCs w:val="30"/>
          <w:lang w:val="fr-FR"/>
        </w:rPr>
      </w:pPr>
      <w:r w:rsidRPr="00717FCB">
        <w:rPr>
          <w:rFonts w:ascii="Times New Roman" w:hAnsi="Times New Roman" w:cs="Times"/>
          <w:b/>
          <w:szCs w:val="30"/>
          <w:lang w:val="fr-FR"/>
        </w:rPr>
        <w:t>AREF Symposium: Q</w:t>
      </w:r>
      <w:r w:rsidR="00420C03" w:rsidRPr="00717FCB">
        <w:rPr>
          <w:rFonts w:ascii="Times New Roman" w:hAnsi="Times New Roman" w:cs="Times"/>
          <w:b/>
          <w:szCs w:val="30"/>
          <w:lang w:val="fr-FR"/>
        </w:rPr>
        <w:t>u'est-ce qui influence l</w:t>
      </w:r>
      <w:r w:rsidR="00CC54A1">
        <w:rPr>
          <w:rFonts w:ascii="Times New Roman" w:hAnsi="Times New Roman" w:cs="Times"/>
          <w:b/>
          <w:szCs w:val="30"/>
          <w:lang w:val="fr-FR"/>
        </w:rPr>
        <w:t>a qualité</w:t>
      </w:r>
      <w:r w:rsidR="00420C03" w:rsidRPr="00717FCB">
        <w:rPr>
          <w:rFonts w:ascii="Times New Roman" w:hAnsi="Times New Roman" w:cs="Times"/>
          <w:b/>
          <w:szCs w:val="30"/>
          <w:lang w:val="fr-FR"/>
        </w:rPr>
        <w:t xml:space="preserve"> de l'apprentissage dans l'enseignement supérieur ?</w:t>
      </w:r>
    </w:p>
    <w:p w:rsidR="00C251BF" w:rsidRPr="00717FCB" w:rsidRDefault="00C251BF" w:rsidP="00D71176">
      <w:pPr>
        <w:spacing w:after="0"/>
        <w:rPr>
          <w:rFonts w:ascii="Times New Roman" w:hAnsi="Times New Roman" w:cs="Times"/>
          <w:szCs w:val="30"/>
          <w:lang w:val="fr-FR"/>
        </w:rPr>
      </w:pPr>
    </w:p>
    <w:p w:rsidR="00C251BF" w:rsidRPr="003E1417" w:rsidRDefault="00C251BF" w:rsidP="00D71176">
      <w:pPr>
        <w:spacing w:after="0"/>
        <w:rPr>
          <w:rFonts w:ascii="Times New Roman" w:hAnsi="Times New Roman" w:cs="Times"/>
          <w:szCs w:val="30"/>
        </w:rPr>
      </w:pPr>
      <w:r w:rsidRPr="003E1417">
        <w:rPr>
          <w:rFonts w:ascii="Times New Roman" w:hAnsi="Times New Roman" w:cs="Times"/>
          <w:szCs w:val="30"/>
        </w:rPr>
        <w:t>Emily F. Henderson</w:t>
      </w:r>
    </w:p>
    <w:p w:rsidR="00C251BF" w:rsidRPr="003E1417" w:rsidRDefault="00C251BF" w:rsidP="00D71176">
      <w:pPr>
        <w:spacing w:after="0"/>
        <w:rPr>
          <w:rFonts w:ascii="Times New Roman" w:hAnsi="Times New Roman" w:cs="Times"/>
          <w:szCs w:val="30"/>
        </w:rPr>
      </w:pPr>
      <w:r w:rsidRPr="003E1417">
        <w:rPr>
          <w:rFonts w:ascii="Times New Roman" w:hAnsi="Times New Roman" w:cs="Times"/>
          <w:szCs w:val="30"/>
        </w:rPr>
        <w:t>Assistant Professor of International Education and Development</w:t>
      </w:r>
    </w:p>
    <w:p w:rsidR="00C251BF" w:rsidRPr="003E1417" w:rsidRDefault="00C251BF" w:rsidP="00D71176">
      <w:pPr>
        <w:spacing w:after="0"/>
        <w:rPr>
          <w:rFonts w:ascii="Times New Roman" w:hAnsi="Times New Roman" w:cs="Times"/>
          <w:szCs w:val="30"/>
        </w:rPr>
      </w:pPr>
      <w:r w:rsidRPr="003E1417">
        <w:rPr>
          <w:rFonts w:ascii="Times New Roman" w:hAnsi="Times New Roman" w:cs="Times"/>
          <w:szCs w:val="30"/>
        </w:rPr>
        <w:t>Centre for Education Studies</w:t>
      </w:r>
    </w:p>
    <w:p w:rsidR="00C251BF" w:rsidRPr="003E1417" w:rsidRDefault="00C251BF" w:rsidP="00D71176">
      <w:pPr>
        <w:spacing w:after="0"/>
        <w:rPr>
          <w:rFonts w:ascii="Times New Roman" w:hAnsi="Times New Roman" w:cs="Times"/>
          <w:szCs w:val="30"/>
        </w:rPr>
      </w:pPr>
      <w:r w:rsidRPr="003E1417">
        <w:rPr>
          <w:rFonts w:ascii="Times New Roman" w:hAnsi="Times New Roman" w:cs="Times"/>
          <w:szCs w:val="30"/>
        </w:rPr>
        <w:t>University of Warwick, Royaume-Uni</w:t>
      </w:r>
    </w:p>
    <w:p w:rsidR="00C251BF" w:rsidRPr="00717FCB" w:rsidRDefault="0057307F" w:rsidP="00D71176">
      <w:pPr>
        <w:spacing w:after="0"/>
        <w:rPr>
          <w:rFonts w:ascii="Times New Roman" w:hAnsi="Times New Roman" w:cs="Times"/>
          <w:szCs w:val="30"/>
          <w:lang w:val="fr-FR"/>
        </w:rPr>
      </w:pPr>
      <w:hyperlink r:id="rId6" w:history="1">
        <w:r w:rsidR="00C251BF" w:rsidRPr="00717FCB">
          <w:rPr>
            <w:rStyle w:val="Lienhypertexte"/>
            <w:rFonts w:ascii="Times New Roman" w:hAnsi="Times New Roman" w:cs="Times"/>
            <w:szCs w:val="30"/>
            <w:lang w:val="fr-FR"/>
          </w:rPr>
          <w:t>e.henderson@warwick.ac.uk</w:t>
        </w:r>
      </w:hyperlink>
    </w:p>
    <w:p w:rsidR="00D71176" w:rsidRPr="00717FCB" w:rsidRDefault="00D71176" w:rsidP="00D71176">
      <w:pPr>
        <w:spacing w:after="0"/>
        <w:rPr>
          <w:rFonts w:ascii="Times New Roman" w:hAnsi="Times New Roman" w:cs="Times"/>
          <w:szCs w:val="30"/>
          <w:lang w:val="fr-FR"/>
        </w:rPr>
      </w:pPr>
    </w:p>
    <w:p w:rsidR="00D71176" w:rsidRPr="00717FCB" w:rsidRDefault="00D71176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b/>
          <w:szCs w:val="26"/>
          <w:lang w:val="fr-FR"/>
        </w:rPr>
      </w:pPr>
      <w:r w:rsidRPr="00717FCB">
        <w:rPr>
          <w:rFonts w:ascii="Times New Roman" w:hAnsi="Times New Roman" w:cs="Verdana"/>
          <w:b/>
          <w:szCs w:val="26"/>
          <w:lang w:val="fr-FR"/>
        </w:rPr>
        <w:t>Titre de la communication</w:t>
      </w:r>
    </w:p>
    <w:p w:rsidR="00D71176" w:rsidRPr="00894A19" w:rsidRDefault="00534489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Verdana"/>
          <w:szCs w:val="26"/>
          <w:lang w:val="fr-FR"/>
        </w:rPr>
      </w:pPr>
      <w:r w:rsidRPr="00717FCB">
        <w:rPr>
          <w:rFonts w:ascii="Times New Roman" w:hAnsi="Times New Roman" w:cs="Verdana"/>
          <w:szCs w:val="26"/>
          <w:lang w:val="fr-FR"/>
        </w:rPr>
        <w:t xml:space="preserve">La pédagogie critique au défi de l’enseignement supérieur d’aujourd’hui: </w:t>
      </w:r>
      <w:r w:rsidR="003E1417" w:rsidRPr="00717FCB">
        <w:rPr>
          <w:rFonts w:ascii="Times New Roman" w:hAnsi="Times New Roman" w:cs="Verdana"/>
          <w:szCs w:val="26"/>
          <w:lang w:val="fr-FR"/>
        </w:rPr>
        <w:t>à qui faudrait-il poser la question</w:t>
      </w:r>
      <w:r w:rsidRPr="00717FCB">
        <w:rPr>
          <w:rFonts w:ascii="Times New Roman" w:hAnsi="Times New Roman" w:cs="Verdana"/>
          <w:szCs w:val="26"/>
          <w:lang w:val="fr-FR"/>
        </w:rPr>
        <w:t>?</w:t>
      </w:r>
    </w:p>
    <w:p w:rsidR="00A25367" w:rsidRPr="00717FCB" w:rsidRDefault="00D71176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Verdana"/>
          <w:szCs w:val="26"/>
          <w:lang w:val="fr-FR"/>
        </w:rPr>
      </w:pPr>
      <w:r w:rsidRPr="00717FCB">
        <w:rPr>
          <w:rFonts w:ascii="Times New Roman" w:hAnsi="Times New Roman" w:cs="Verdana"/>
          <w:b/>
          <w:szCs w:val="26"/>
          <w:lang w:val="fr-FR"/>
        </w:rPr>
        <w:t>Résumé de la communication</w:t>
      </w:r>
      <w:r w:rsidRPr="00717FCB">
        <w:rPr>
          <w:rFonts w:ascii="Times New Roman" w:hAnsi="Times New Roman" w:cs="Verdana"/>
          <w:szCs w:val="26"/>
          <w:lang w:val="fr-FR"/>
        </w:rPr>
        <w:t xml:space="preserve"> </w:t>
      </w:r>
    </w:p>
    <w:p w:rsidR="00846757" w:rsidRPr="00717FCB" w:rsidRDefault="008B3EC9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  <w:r>
        <w:rPr>
          <w:rFonts w:ascii="Times New Roman" w:hAnsi="Times New Roman" w:cs="Arial"/>
          <w:szCs w:val="26"/>
          <w:lang w:val="fr-FR"/>
        </w:rPr>
        <w:t>Elargir l’accès à</w:t>
      </w:r>
      <w:r w:rsidR="009A6CDE" w:rsidRPr="00717FCB">
        <w:rPr>
          <w:rFonts w:ascii="Times New Roman" w:hAnsi="Times New Roman" w:cs="Arial"/>
          <w:szCs w:val="26"/>
          <w:lang w:val="fr-FR"/>
        </w:rPr>
        <w:t xml:space="preserve"> l’ens</w:t>
      </w:r>
      <w:r>
        <w:rPr>
          <w:rFonts w:ascii="Times New Roman" w:hAnsi="Times New Roman" w:cs="Arial"/>
          <w:szCs w:val="26"/>
          <w:lang w:val="fr-FR"/>
        </w:rPr>
        <w:t>eignement supérieur invite à se</w:t>
      </w:r>
      <w:r w:rsidR="009A6CDE" w:rsidRPr="00717FCB">
        <w:rPr>
          <w:rFonts w:ascii="Times New Roman" w:hAnsi="Times New Roman" w:cs="Arial"/>
          <w:szCs w:val="26"/>
          <w:lang w:val="fr-FR"/>
        </w:rPr>
        <w:t xml:space="preserve"> demander de plus en plus non seulement comment accéder à l’université mais, une </w:t>
      </w:r>
      <w:r>
        <w:rPr>
          <w:rFonts w:ascii="Times New Roman" w:hAnsi="Times New Roman" w:cs="Arial"/>
          <w:szCs w:val="26"/>
          <w:lang w:val="fr-FR"/>
        </w:rPr>
        <w:t>fois inscrit dans celle-ci</w:t>
      </w:r>
      <w:r w:rsidR="009A6CDE" w:rsidRPr="00717FCB">
        <w:rPr>
          <w:rFonts w:ascii="Times New Roman" w:hAnsi="Times New Roman" w:cs="Arial"/>
          <w:szCs w:val="26"/>
          <w:lang w:val="fr-FR"/>
        </w:rPr>
        <w:t xml:space="preserve">, </w:t>
      </w:r>
      <w:r w:rsidR="006E18EB" w:rsidRPr="00717FCB">
        <w:rPr>
          <w:rFonts w:ascii="Times New Roman" w:hAnsi="Times New Roman" w:cs="Arial"/>
          <w:szCs w:val="26"/>
          <w:lang w:val="fr-FR"/>
        </w:rPr>
        <w:t>comment garantir sa réussite. C’est ainsi que tout</w:t>
      </w:r>
      <w:r w:rsidR="00933338">
        <w:rPr>
          <w:rFonts w:ascii="Times New Roman" w:hAnsi="Times New Roman" w:cs="Arial"/>
          <w:szCs w:val="26"/>
          <w:lang w:val="fr-FR"/>
        </w:rPr>
        <w:t>e une série</w:t>
      </w:r>
      <w:r w:rsidR="006E18EB" w:rsidRPr="00717FCB">
        <w:rPr>
          <w:rFonts w:ascii="Times New Roman" w:hAnsi="Times New Roman" w:cs="Arial"/>
          <w:szCs w:val="26"/>
          <w:lang w:val="fr-FR"/>
        </w:rPr>
        <w:t xml:space="preserve"> de questions se posent actuellement sur la pédagogie dans l’enseignement supérieur, puisqu’un lien clair se dessine entre le fait d’enseigner avec plus ou moins </w:t>
      </w:r>
      <w:r w:rsidR="00846757" w:rsidRPr="00717FCB">
        <w:rPr>
          <w:rFonts w:ascii="Times New Roman" w:hAnsi="Times New Roman" w:cs="Arial"/>
          <w:szCs w:val="26"/>
          <w:lang w:val="fr-FR"/>
        </w:rPr>
        <w:t>d’</w:t>
      </w:r>
      <w:r w:rsidR="006E18EB" w:rsidRPr="00717FCB">
        <w:rPr>
          <w:rFonts w:ascii="Times New Roman" w:hAnsi="Times New Roman" w:cs="Arial"/>
          <w:szCs w:val="26"/>
          <w:lang w:val="fr-FR"/>
        </w:rPr>
        <w:t>attention aux questions pédagogiques et le fait d’apprendre avec plus ou moins de réussite</w:t>
      </w:r>
      <w:r w:rsidR="00846757" w:rsidRPr="00717FCB">
        <w:rPr>
          <w:rFonts w:ascii="Times New Roman" w:hAnsi="Times New Roman" w:cs="Arial"/>
          <w:szCs w:val="26"/>
          <w:lang w:val="fr-FR"/>
        </w:rPr>
        <w:t xml:space="preserve"> (</w:t>
      </w:r>
      <w:r w:rsidR="00AA6C33" w:rsidRPr="00717FCB">
        <w:rPr>
          <w:rFonts w:ascii="Times New Roman" w:hAnsi="Times New Roman" w:cs="Arial"/>
          <w:szCs w:val="26"/>
          <w:lang w:val="fr-FR"/>
        </w:rPr>
        <w:t xml:space="preserve">Walker, 2006; </w:t>
      </w:r>
      <w:r w:rsidR="0057307F">
        <w:rPr>
          <w:rFonts w:ascii="Times New Roman" w:hAnsi="Times New Roman" w:cs="Arial"/>
          <w:szCs w:val="26"/>
          <w:lang w:val="fr-FR"/>
        </w:rPr>
        <w:t>Burke &amp;</w:t>
      </w:r>
      <w:r w:rsidR="001E2596" w:rsidRPr="00717FCB">
        <w:rPr>
          <w:rFonts w:ascii="Times New Roman" w:hAnsi="Times New Roman" w:cs="Arial"/>
          <w:szCs w:val="26"/>
          <w:lang w:val="fr-FR"/>
        </w:rPr>
        <w:t xml:space="preserve"> al., 2013</w:t>
      </w:r>
      <w:r w:rsidR="00846757" w:rsidRPr="00717FCB">
        <w:rPr>
          <w:rFonts w:ascii="Times New Roman" w:hAnsi="Times New Roman" w:cs="Arial"/>
          <w:szCs w:val="26"/>
          <w:lang w:val="fr-FR"/>
        </w:rPr>
        <w:t>)</w:t>
      </w:r>
      <w:r w:rsidR="00894A19">
        <w:rPr>
          <w:rFonts w:ascii="Times New Roman" w:hAnsi="Times New Roman" w:cs="Arial"/>
          <w:szCs w:val="26"/>
          <w:lang w:val="fr-FR"/>
        </w:rPr>
        <w:t>. Au regard</w:t>
      </w:r>
      <w:r>
        <w:rPr>
          <w:rFonts w:ascii="Times New Roman" w:hAnsi="Times New Roman" w:cs="Arial"/>
          <w:szCs w:val="26"/>
          <w:lang w:val="fr-FR"/>
        </w:rPr>
        <w:t xml:space="preserve"> de cet intérêt renouvelé pour</w:t>
      </w:r>
      <w:r w:rsidR="00872762" w:rsidRPr="00717FCB">
        <w:rPr>
          <w:rFonts w:ascii="Times New Roman" w:hAnsi="Times New Roman" w:cs="Arial"/>
          <w:szCs w:val="26"/>
          <w:lang w:val="fr-FR"/>
        </w:rPr>
        <w:t xml:space="preserve"> la pédagogie,</w:t>
      </w:r>
      <w:r w:rsidR="00356AF3">
        <w:rPr>
          <w:rFonts w:ascii="Times New Roman" w:hAnsi="Times New Roman" w:cs="Arial"/>
          <w:szCs w:val="26"/>
          <w:lang w:val="fr-FR"/>
        </w:rPr>
        <w:t xml:space="preserve"> la tradition pédagogique dite « critique »</w:t>
      </w:r>
      <w:r w:rsidR="00273863" w:rsidRPr="00717FCB">
        <w:rPr>
          <w:rFonts w:ascii="Times New Roman" w:hAnsi="Times New Roman" w:cs="Arial"/>
          <w:szCs w:val="26"/>
          <w:lang w:val="fr-FR"/>
        </w:rPr>
        <w:t xml:space="preserve"> entre en pl</w:t>
      </w:r>
      <w:r w:rsidR="00984EBB">
        <w:rPr>
          <w:rFonts w:ascii="Times New Roman" w:hAnsi="Times New Roman" w:cs="Arial"/>
          <w:szCs w:val="26"/>
          <w:lang w:val="fr-FR"/>
        </w:rPr>
        <w:t>ein jeu. Cette manière d’aborder</w:t>
      </w:r>
      <w:r w:rsidR="00273863" w:rsidRPr="00717FCB">
        <w:rPr>
          <w:rFonts w:ascii="Times New Roman" w:hAnsi="Times New Roman" w:cs="Arial"/>
          <w:szCs w:val="26"/>
          <w:lang w:val="fr-FR"/>
        </w:rPr>
        <w:t xml:space="preserve"> l’enseignemen</w:t>
      </w:r>
      <w:r w:rsidR="00984EBB">
        <w:rPr>
          <w:rFonts w:ascii="Times New Roman" w:hAnsi="Times New Roman" w:cs="Arial"/>
          <w:szCs w:val="26"/>
          <w:lang w:val="fr-FR"/>
        </w:rPr>
        <w:t>t estime que l’échange éducatif</w:t>
      </w:r>
      <w:r w:rsidR="00273863" w:rsidRPr="00717FCB">
        <w:rPr>
          <w:rFonts w:ascii="Times New Roman" w:hAnsi="Times New Roman" w:cs="Arial"/>
          <w:szCs w:val="26"/>
          <w:lang w:val="fr-FR"/>
        </w:rPr>
        <w:t xml:space="preserve"> devrait se passer sur un plan plutôt égalitaire, </w:t>
      </w:r>
      <w:r w:rsidR="00D65E02" w:rsidRPr="00717FCB">
        <w:rPr>
          <w:rFonts w:ascii="Times New Roman" w:hAnsi="Times New Roman" w:cs="Arial"/>
          <w:szCs w:val="26"/>
          <w:lang w:val="fr-FR"/>
        </w:rPr>
        <w:t>et que</w:t>
      </w:r>
      <w:r w:rsidR="00984EBB">
        <w:rPr>
          <w:rFonts w:ascii="Times New Roman" w:hAnsi="Times New Roman" w:cs="Arial"/>
          <w:szCs w:val="26"/>
          <w:lang w:val="fr-FR"/>
        </w:rPr>
        <w:t>, par conséquent,</w:t>
      </w:r>
      <w:r w:rsidR="00D65E02" w:rsidRPr="00717FCB">
        <w:rPr>
          <w:rFonts w:ascii="Times New Roman" w:hAnsi="Times New Roman" w:cs="Arial"/>
          <w:szCs w:val="26"/>
          <w:lang w:val="fr-FR"/>
        </w:rPr>
        <w:t xml:space="preserve"> ce n’est pas se</w:t>
      </w:r>
      <w:r w:rsidR="00846757" w:rsidRPr="00717FCB">
        <w:rPr>
          <w:rFonts w:ascii="Times New Roman" w:hAnsi="Times New Roman" w:cs="Arial"/>
          <w:szCs w:val="26"/>
          <w:lang w:val="fr-FR"/>
        </w:rPr>
        <w:t>ulement l’enseignant</w:t>
      </w:r>
      <w:r w:rsidR="003E1417" w:rsidRPr="00717FCB">
        <w:rPr>
          <w:rFonts w:ascii="Times New Roman" w:hAnsi="Times New Roman" w:cs="Arial"/>
          <w:szCs w:val="26"/>
          <w:lang w:val="fr-FR"/>
        </w:rPr>
        <w:t>-e</w:t>
      </w:r>
      <w:r w:rsidR="00846757" w:rsidRPr="00717FCB">
        <w:rPr>
          <w:rFonts w:ascii="Times New Roman" w:hAnsi="Times New Roman" w:cs="Arial"/>
          <w:szCs w:val="26"/>
          <w:lang w:val="fr-FR"/>
        </w:rPr>
        <w:t xml:space="preserve"> qui peut dé</w:t>
      </w:r>
      <w:r w:rsidR="00894A19">
        <w:rPr>
          <w:rFonts w:ascii="Times New Roman" w:hAnsi="Times New Roman" w:cs="Arial"/>
          <w:szCs w:val="26"/>
          <w:lang w:val="fr-FR"/>
        </w:rPr>
        <w:t>terminer</w:t>
      </w:r>
      <w:r w:rsidR="00846757" w:rsidRPr="00717FCB">
        <w:rPr>
          <w:rFonts w:ascii="Times New Roman" w:hAnsi="Times New Roman" w:cs="Arial"/>
          <w:szCs w:val="26"/>
          <w:lang w:val="fr-FR"/>
        </w:rPr>
        <w:t xml:space="preserve"> le contenu ou la démarche du</w:t>
      </w:r>
      <w:r w:rsidR="00984EBB">
        <w:rPr>
          <w:rFonts w:ascii="Times New Roman" w:hAnsi="Times New Roman" w:cs="Arial"/>
          <w:szCs w:val="26"/>
          <w:lang w:val="fr-FR"/>
        </w:rPr>
        <w:t xml:space="preserve"> cours. Le concept d’</w:t>
      </w:r>
      <w:r w:rsidR="00D65E02" w:rsidRPr="00717FCB">
        <w:rPr>
          <w:rFonts w:ascii="Times New Roman" w:hAnsi="Times New Roman" w:cs="Arial"/>
          <w:szCs w:val="26"/>
          <w:lang w:val="fr-FR"/>
        </w:rPr>
        <w:t>autorité scolaire est ainsi déstabili</w:t>
      </w:r>
      <w:r w:rsidR="00717FCB">
        <w:rPr>
          <w:rFonts w:ascii="Times New Roman" w:hAnsi="Times New Roman" w:cs="Arial"/>
          <w:szCs w:val="26"/>
          <w:lang w:val="fr-FR"/>
        </w:rPr>
        <w:t xml:space="preserve">sé par la </w:t>
      </w:r>
      <w:r w:rsidR="00933338">
        <w:rPr>
          <w:rFonts w:ascii="Times New Roman" w:hAnsi="Times New Roman" w:cs="Arial"/>
          <w:szCs w:val="26"/>
          <w:lang w:val="fr-FR"/>
        </w:rPr>
        <w:t>re</w:t>
      </w:r>
      <w:r w:rsidR="00717FCB">
        <w:rPr>
          <w:rFonts w:ascii="Times New Roman" w:hAnsi="Times New Roman" w:cs="Arial"/>
          <w:szCs w:val="26"/>
          <w:lang w:val="fr-FR"/>
        </w:rPr>
        <w:t xml:space="preserve">mise en question de la </w:t>
      </w:r>
      <w:r w:rsidR="00D65E02" w:rsidRPr="00717FCB">
        <w:rPr>
          <w:rFonts w:ascii="Times New Roman" w:hAnsi="Times New Roman" w:cs="Arial"/>
          <w:szCs w:val="26"/>
          <w:lang w:val="fr-FR"/>
        </w:rPr>
        <w:t>hiérarchie entre professeur</w:t>
      </w:r>
      <w:r w:rsidR="003E1417" w:rsidRPr="00717FCB">
        <w:rPr>
          <w:rFonts w:ascii="Times New Roman" w:hAnsi="Times New Roman" w:cs="Arial"/>
          <w:szCs w:val="26"/>
          <w:lang w:val="fr-FR"/>
        </w:rPr>
        <w:t>-e</w:t>
      </w:r>
      <w:r w:rsidR="00D65E02" w:rsidRPr="00717FCB">
        <w:rPr>
          <w:rFonts w:ascii="Times New Roman" w:hAnsi="Times New Roman" w:cs="Arial"/>
          <w:szCs w:val="26"/>
          <w:lang w:val="fr-FR"/>
        </w:rPr>
        <w:t xml:space="preserve"> et étudiant</w:t>
      </w:r>
      <w:r w:rsidR="003E1417" w:rsidRPr="00717FCB">
        <w:rPr>
          <w:rFonts w:ascii="Times New Roman" w:hAnsi="Times New Roman" w:cs="Arial"/>
          <w:szCs w:val="26"/>
          <w:lang w:val="fr-FR"/>
        </w:rPr>
        <w:t>-e</w:t>
      </w:r>
      <w:r w:rsidR="00D65E02" w:rsidRPr="00717FCB">
        <w:rPr>
          <w:rFonts w:ascii="Times New Roman" w:hAnsi="Times New Roman" w:cs="Arial"/>
          <w:szCs w:val="26"/>
          <w:lang w:val="fr-FR"/>
        </w:rPr>
        <w:t xml:space="preserve">, entre </w:t>
      </w:r>
      <w:r w:rsidR="00894A19">
        <w:rPr>
          <w:rFonts w:ascii="Times New Roman" w:hAnsi="Times New Roman" w:cs="Arial"/>
          <w:szCs w:val="26"/>
          <w:lang w:val="fr-FR"/>
        </w:rPr>
        <w:t>savoir académique et savoir personnel</w:t>
      </w:r>
      <w:r w:rsidR="00E45E20" w:rsidRPr="00717FCB">
        <w:rPr>
          <w:rFonts w:ascii="Times New Roman" w:hAnsi="Times New Roman" w:cs="Arial"/>
          <w:szCs w:val="26"/>
          <w:lang w:val="fr-FR"/>
        </w:rPr>
        <w:t xml:space="preserve"> (</w:t>
      </w:r>
      <w:r w:rsidR="0072512E" w:rsidRPr="00717FCB">
        <w:rPr>
          <w:rFonts w:ascii="Times New Roman" w:hAnsi="Times New Roman" w:cs="Arial"/>
          <w:szCs w:val="26"/>
          <w:lang w:val="fr-FR"/>
        </w:rPr>
        <w:t xml:space="preserve">Crabtree et al., 2009; </w:t>
      </w:r>
      <w:r w:rsidR="00E45E20" w:rsidRPr="00717FCB">
        <w:rPr>
          <w:rFonts w:ascii="Times New Roman" w:hAnsi="Times New Roman" w:cs="Arial"/>
          <w:szCs w:val="26"/>
          <w:lang w:val="fr-FR"/>
        </w:rPr>
        <w:t>Lubelska, 1991)</w:t>
      </w:r>
      <w:r w:rsidR="00D65E02" w:rsidRPr="00717FCB">
        <w:rPr>
          <w:rFonts w:ascii="Times New Roman" w:hAnsi="Times New Roman" w:cs="Arial"/>
          <w:szCs w:val="26"/>
          <w:lang w:val="fr-FR"/>
        </w:rPr>
        <w:t xml:space="preserve">. </w:t>
      </w:r>
    </w:p>
    <w:p w:rsidR="00846757" w:rsidRPr="00717FCB" w:rsidRDefault="00846757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</w:p>
    <w:p w:rsidR="003E1417" w:rsidRPr="00717FCB" w:rsidRDefault="00717FCB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  <w:r>
        <w:rPr>
          <w:rFonts w:ascii="Times New Roman" w:hAnsi="Times New Roman" w:cs="Arial"/>
          <w:szCs w:val="26"/>
          <w:lang w:val="fr-FR"/>
        </w:rPr>
        <w:t>Les idées clé</w:t>
      </w:r>
      <w:r w:rsidR="001629D1" w:rsidRPr="00717FCB">
        <w:rPr>
          <w:rFonts w:ascii="Times New Roman" w:hAnsi="Times New Roman" w:cs="Arial"/>
          <w:szCs w:val="26"/>
          <w:lang w:val="fr-FR"/>
        </w:rPr>
        <w:t>s de la péd</w:t>
      </w:r>
      <w:r w:rsidR="00D72E6F">
        <w:rPr>
          <w:rFonts w:ascii="Times New Roman" w:hAnsi="Times New Roman" w:cs="Arial"/>
          <w:szCs w:val="26"/>
          <w:lang w:val="fr-FR"/>
        </w:rPr>
        <w:t>agogie critique, aussi nommée</w:t>
      </w:r>
      <w:r w:rsidR="001629D1" w:rsidRPr="00717FCB">
        <w:rPr>
          <w:rFonts w:ascii="Times New Roman" w:hAnsi="Times New Roman" w:cs="Arial"/>
          <w:szCs w:val="26"/>
          <w:lang w:val="fr-FR"/>
        </w:rPr>
        <w:t xml:space="preserve"> p</w:t>
      </w:r>
      <w:r>
        <w:rPr>
          <w:rFonts w:ascii="Times New Roman" w:hAnsi="Times New Roman" w:cs="Arial"/>
          <w:szCs w:val="26"/>
          <w:lang w:val="fr-FR"/>
        </w:rPr>
        <w:t>édagogie féministe, ont été</w:t>
      </w:r>
      <w:r w:rsidR="001629D1" w:rsidRPr="00717FCB">
        <w:rPr>
          <w:rFonts w:ascii="Times New Roman" w:hAnsi="Times New Roman" w:cs="Arial"/>
          <w:szCs w:val="26"/>
          <w:lang w:val="fr-FR"/>
        </w:rPr>
        <w:t xml:space="preserve"> autant critiquées que louées : par exemple, </w:t>
      </w:r>
      <w:r w:rsidR="002B7E5C" w:rsidRPr="00717FCB">
        <w:rPr>
          <w:rFonts w:ascii="Times New Roman" w:hAnsi="Times New Roman" w:cs="Arial"/>
          <w:szCs w:val="26"/>
          <w:lang w:val="fr-FR"/>
        </w:rPr>
        <w:t>est-il vraiment possible de créer une relation équilibrée entre professeur</w:t>
      </w:r>
      <w:r w:rsidR="003E1417" w:rsidRPr="00717FCB">
        <w:rPr>
          <w:rFonts w:ascii="Times New Roman" w:hAnsi="Times New Roman" w:cs="Arial"/>
          <w:szCs w:val="26"/>
          <w:lang w:val="fr-FR"/>
        </w:rPr>
        <w:t>-e</w:t>
      </w:r>
      <w:r w:rsidR="002B7E5C" w:rsidRPr="00717FCB">
        <w:rPr>
          <w:rFonts w:ascii="Times New Roman" w:hAnsi="Times New Roman" w:cs="Arial"/>
          <w:szCs w:val="26"/>
          <w:lang w:val="fr-FR"/>
        </w:rPr>
        <w:t xml:space="preserve"> et étudiant</w:t>
      </w:r>
      <w:r w:rsidR="003E1417" w:rsidRPr="00717FCB">
        <w:rPr>
          <w:rFonts w:ascii="Times New Roman" w:hAnsi="Times New Roman" w:cs="Arial"/>
          <w:szCs w:val="26"/>
          <w:lang w:val="fr-FR"/>
        </w:rPr>
        <w:t>-e</w:t>
      </w:r>
      <w:r w:rsidR="002B7E5C" w:rsidRPr="00717FCB">
        <w:rPr>
          <w:rFonts w:ascii="Times New Roman" w:hAnsi="Times New Roman" w:cs="Arial"/>
          <w:szCs w:val="26"/>
          <w:lang w:val="fr-FR"/>
        </w:rPr>
        <w:t xml:space="preserve"> quand à la fin du cours le</w:t>
      </w:r>
      <w:r w:rsidR="003E1417" w:rsidRPr="00717FCB">
        <w:rPr>
          <w:rFonts w:ascii="Times New Roman" w:hAnsi="Times New Roman" w:cs="Arial"/>
          <w:szCs w:val="26"/>
          <w:lang w:val="fr-FR"/>
        </w:rPr>
        <w:t>/la</w:t>
      </w:r>
      <w:r w:rsidR="002B7E5C" w:rsidRPr="00717FCB">
        <w:rPr>
          <w:rFonts w:ascii="Times New Roman" w:hAnsi="Times New Roman" w:cs="Arial"/>
          <w:szCs w:val="26"/>
          <w:lang w:val="fr-FR"/>
        </w:rPr>
        <w:t xml:space="preserve"> professeur</w:t>
      </w:r>
      <w:r w:rsidR="003E1417" w:rsidRPr="00717FCB">
        <w:rPr>
          <w:rFonts w:ascii="Times New Roman" w:hAnsi="Times New Roman" w:cs="Arial"/>
          <w:szCs w:val="26"/>
          <w:lang w:val="fr-FR"/>
        </w:rPr>
        <w:t>-e</w:t>
      </w:r>
      <w:r w:rsidR="002B7E5C" w:rsidRPr="00717FCB">
        <w:rPr>
          <w:rFonts w:ascii="Times New Roman" w:hAnsi="Times New Roman" w:cs="Arial"/>
          <w:szCs w:val="26"/>
          <w:lang w:val="fr-FR"/>
        </w:rPr>
        <w:t xml:space="preserve"> doit quand même donner une note aux étudiant</w:t>
      </w:r>
      <w:r w:rsidR="003E1417" w:rsidRPr="00717FCB">
        <w:rPr>
          <w:rFonts w:ascii="Times New Roman" w:hAnsi="Times New Roman" w:cs="Arial"/>
          <w:szCs w:val="26"/>
          <w:lang w:val="fr-FR"/>
        </w:rPr>
        <w:t>-e-</w:t>
      </w:r>
      <w:r w:rsidR="002B7E5C" w:rsidRPr="00717FCB">
        <w:rPr>
          <w:rFonts w:ascii="Times New Roman" w:hAnsi="Times New Roman" w:cs="Arial"/>
          <w:szCs w:val="26"/>
          <w:lang w:val="fr-FR"/>
        </w:rPr>
        <w:t>s pour un examen ou une contrô</w:t>
      </w:r>
      <w:r w:rsidR="00894A19">
        <w:rPr>
          <w:rFonts w:ascii="Times New Roman" w:hAnsi="Times New Roman" w:cs="Arial"/>
          <w:szCs w:val="26"/>
          <w:lang w:val="fr-FR"/>
        </w:rPr>
        <w:t>le</w:t>
      </w:r>
      <w:r w:rsidR="002B7E5C" w:rsidRPr="00717FCB">
        <w:rPr>
          <w:rFonts w:ascii="Times New Roman" w:hAnsi="Times New Roman" w:cs="Arial"/>
          <w:szCs w:val="26"/>
          <w:lang w:val="fr-FR"/>
        </w:rPr>
        <w:t xml:space="preserve"> (</w:t>
      </w:r>
      <w:r w:rsidR="00BE6A17" w:rsidRPr="00717FCB">
        <w:rPr>
          <w:rFonts w:ascii="Times New Roman" w:hAnsi="Times New Roman" w:cs="Arial"/>
          <w:szCs w:val="26"/>
          <w:lang w:val="fr-FR"/>
        </w:rPr>
        <w:t>McNeil, 1992</w:t>
      </w:r>
      <w:r w:rsidR="002B7E5C" w:rsidRPr="00717FCB">
        <w:rPr>
          <w:rFonts w:ascii="Times New Roman" w:hAnsi="Times New Roman" w:cs="Arial"/>
          <w:szCs w:val="26"/>
          <w:lang w:val="fr-FR"/>
        </w:rPr>
        <w:t>)</w:t>
      </w:r>
      <w:r w:rsidR="00984EBB">
        <w:rPr>
          <w:rFonts w:ascii="Times New Roman" w:hAnsi="Times New Roman" w:cs="Arial"/>
          <w:szCs w:val="26"/>
          <w:lang w:val="fr-FR"/>
        </w:rPr>
        <w:t> ?</w:t>
      </w:r>
      <w:r w:rsidR="002B7E5C" w:rsidRPr="00717FCB">
        <w:rPr>
          <w:rFonts w:ascii="Times New Roman" w:hAnsi="Times New Roman" w:cs="Arial"/>
          <w:szCs w:val="26"/>
          <w:lang w:val="fr-FR"/>
        </w:rPr>
        <w:t xml:space="preserve"> Ou encore, </w:t>
      </w:r>
      <w:r w:rsidR="00C24254" w:rsidRPr="00717FCB">
        <w:rPr>
          <w:rFonts w:ascii="Times New Roman" w:hAnsi="Times New Roman" w:cs="Arial"/>
          <w:szCs w:val="26"/>
          <w:lang w:val="fr-FR"/>
        </w:rPr>
        <w:t>est</w:t>
      </w:r>
      <w:r w:rsidR="00D72E6F">
        <w:rPr>
          <w:rFonts w:ascii="Times New Roman" w:hAnsi="Times New Roman" w:cs="Arial"/>
          <w:szCs w:val="26"/>
          <w:lang w:val="fr-FR"/>
        </w:rPr>
        <w:t>-il</w:t>
      </w:r>
      <w:r w:rsidR="00C24254" w:rsidRPr="00717FCB">
        <w:rPr>
          <w:rFonts w:ascii="Times New Roman" w:hAnsi="Times New Roman" w:cs="Arial"/>
          <w:szCs w:val="26"/>
          <w:lang w:val="fr-FR"/>
        </w:rPr>
        <w:t xml:space="preserve"> vraiment possible de briser la barrière entre le</w:t>
      </w:r>
      <w:r>
        <w:rPr>
          <w:rFonts w:ascii="Times New Roman" w:hAnsi="Times New Roman" w:cs="Arial"/>
          <w:szCs w:val="26"/>
          <w:lang w:val="fr-FR"/>
        </w:rPr>
        <w:t xml:space="preserve"> savoir canonique et les réflexions plus personnelles ou ane</w:t>
      </w:r>
      <w:r w:rsidR="00C24254" w:rsidRPr="00717FCB">
        <w:rPr>
          <w:rFonts w:ascii="Times New Roman" w:hAnsi="Times New Roman" w:cs="Arial"/>
          <w:szCs w:val="26"/>
          <w:lang w:val="fr-FR"/>
        </w:rPr>
        <w:t>cdotiques? (</w:t>
      </w:r>
      <w:r w:rsidR="00BE6A17" w:rsidRPr="00717FCB">
        <w:rPr>
          <w:rFonts w:ascii="Times New Roman" w:hAnsi="Times New Roman" w:cs="Arial"/>
          <w:szCs w:val="26"/>
          <w:lang w:val="fr-FR"/>
        </w:rPr>
        <w:t xml:space="preserve">Madoc-Jones, 1997; </w:t>
      </w:r>
      <w:r w:rsidR="00254E71" w:rsidRPr="00717FCB">
        <w:rPr>
          <w:rFonts w:ascii="Times New Roman" w:hAnsi="Times New Roman" w:cs="Arial"/>
          <w:szCs w:val="26"/>
          <w:lang w:val="fr-FR"/>
        </w:rPr>
        <w:t>Weiner 2006</w:t>
      </w:r>
      <w:r w:rsidR="00C24254" w:rsidRPr="00717FCB">
        <w:rPr>
          <w:rFonts w:ascii="Times New Roman" w:hAnsi="Times New Roman" w:cs="Arial"/>
          <w:szCs w:val="26"/>
          <w:lang w:val="fr-FR"/>
        </w:rPr>
        <w:t xml:space="preserve">). </w:t>
      </w:r>
      <w:r w:rsidR="00637A8E" w:rsidRPr="00717FCB">
        <w:rPr>
          <w:rFonts w:ascii="Times New Roman" w:hAnsi="Times New Roman" w:cs="Arial"/>
          <w:szCs w:val="26"/>
          <w:lang w:val="fr-FR"/>
        </w:rPr>
        <w:t>En dé</w:t>
      </w:r>
      <w:r w:rsidR="003630DA" w:rsidRPr="00717FCB">
        <w:rPr>
          <w:rFonts w:ascii="Times New Roman" w:hAnsi="Times New Roman" w:cs="Arial"/>
          <w:szCs w:val="26"/>
          <w:lang w:val="fr-FR"/>
        </w:rPr>
        <w:t>pit de ces cr</w:t>
      </w:r>
      <w:r w:rsidR="00637A8E" w:rsidRPr="00717FCB">
        <w:rPr>
          <w:rFonts w:ascii="Times New Roman" w:hAnsi="Times New Roman" w:cs="Arial"/>
          <w:szCs w:val="26"/>
          <w:lang w:val="fr-FR"/>
        </w:rPr>
        <w:t>i</w:t>
      </w:r>
      <w:r w:rsidR="003630DA" w:rsidRPr="00717FCB">
        <w:rPr>
          <w:rFonts w:ascii="Times New Roman" w:hAnsi="Times New Roman" w:cs="Arial"/>
          <w:szCs w:val="26"/>
          <w:lang w:val="fr-FR"/>
        </w:rPr>
        <w:t>ti</w:t>
      </w:r>
      <w:r w:rsidR="00846757" w:rsidRPr="00717FCB">
        <w:rPr>
          <w:rFonts w:ascii="Times New Roman" w:hAnsi="Times New Roman" w:cs="Arial"/>
          <w:szCs w:val="26"/>
          <w:lang w:val="fr-FR"/>
        </w:rPr>
        <w:t>ques, la pédagogie critique</w:t>
      </w:r>
      <w:r w:rsidR="00933338">
        <w:rPr>
          <w:rFonts w:ascii="Times New Roman" w:hAnsi="Times New Roman" w:cs="Arial"/>
          <w:szCs w:val="26"/>
          <w:lang w:val="fr-FR"/>
        </w:rPr>
        <w:t xml:space="preserve"> a gardé ses partisans dans l’enseignement supérieur.</w:t>
      </w:r>
      <w:r w:rsidR="00637A8E" w:rsidRPr="00717FCB">
        <w:rPr>
          <w:rFonts w:ascii="Times New Roman" w:hAnsi="Times New Roman" w:cs="Arial"/>
          <w:szCs w:val="26"/>
          <w:lang w:val="fr-FR"/>
        </w:rPr>
        <w:t xml:space="preserve"> </w:t>
      </w:r>
      <w:r w:rsidR="003630DA" w:rsidRPr="00717FCB">
        <w:rPr>
          <w:rFonts w:ascii="Times New Roman" w:hAnsi="Times New Roman" w:cs="Arial"/>
          <w:szCs w:val="26"/>
          <w:lang w:val="fr-FR"/>
        </w:rPr>
        <w:t>Cette communication est basée sur une enquête qualitative qui a été mené</w:t>
      </w:r>
      <w:r w:rsidR="00846757" w:rsidRPr="00717FCB">
        <w:rPr>
          <w:rFonts w:ascii="Times New Roman" w:hAnsi="Times New Roman" w:cs="Arial"/>
          <w:szCs w:val="26"/>
          <w:lang w:val="fr-FR"/>
        </w:rPr>
        <w:t>e</w:t>
      </w:r>
      <w:r w:rsidR="003630DA" w:rsidRPr="00717FCB">
        <w:rPr>
          <w:rFonts w:ascii="Times New Roman" w:hAnsi="Times New Roman" w:cs="Arial"/>
          <w:szCs w:val="26"/>
          <w:lang w:val="fr-FR"/>
        </w:rPr>
        <w:t xml:space="preserve"> dans une université angla</w:t>
      </w:r>
      <w:r w:rsidR="00984EBB">
        <w:rPr>
          <w:rFonts w:ascii="Times New Roman" w:hAnsi="Times New Roman" w:cs="Arial"/>
          <w:szCs w:val="26"/>
          <w:lang w:val="fr-FR"/>
        </w:rPr>
        <w:t>ise. L’enquête a pris comme terrain</w:t>
      </w:r>
      <w:r w:rsidR="003630DA" w:rsidRPr="00717FCB">
        <w:rPr>
          <w:rFonts w:ascii="Times New Roman" w:hAnsi="Times New Roman" w:cs="Arial"/>
          <w:szCs w:val="26"/>
          <w:lang w:val="fr-FR"/>
        </w:rPr>
        <w:t xml:space="preserve"> de recherche un cours où l’enseignante essayait d’employer la pédag</w:t>
      </w:r>
      <w:r>
        <w:rPr>
          <w:rFonts w:ascii="Times New Roman" w:hAnsi="Times New Roman" w:cs="Arial"/>
          <w:szCs w:val="26"/>
          <w:lang w:val="fr-FR"/>
        </w:rPr>
        <w:t xml:space="preserve">ogie critique dans ses cours : </w:t>
      </w:r>
      <w:r w:rsidR="003630DA" w:rsidRPr="00717FCB">
        <w:rPr>
          <w:rFonts w:ascii="Times New Roman" w:hAnsi="Times New Roman" w:cs="Arial"/>
          <w:szCs w:val="26"/>
          <w:lang w:val="fr-FR"/>
        </w:rPr>
        <w:t xml:space="preserve">la chercheuse a observé des séances du cours dans </w:t>
      </w:r>
      <w:r w:rsidR="003E1417" w:rsidRPr="00717FCB">
        <w:rPr>
          <w:rFonts w:ascii="Times New Roman" w:hAnsi="Times New Roman" w:cs="Arial"/>
          <w:szCs w:val="26"/>
          <w:lang w:val="fr-FR"/>
        </w:rPr>
        <w:t>son format</w:t>
      </w:r>
      <w:r w:rsidR="00356AF3">
        <w:rPr>
          <w:rFonts w:ascii="Times New Roman" w:hAnsi="Times New Roman" w:cs="Arial"/>
          <w:szCs w:val="26"/>
          <w:lang w:val="fr-FR"/>
        </w:rPr>
        <w:t xml:space="preserve"> « face-à-face »</w:t>
      </w:r>
      <w:r w:rsidR="003630DA" w:rsidRPr="00717FCB">
        <w:rPr>
          <w:rFonts w:ascii="Times New Roman" w:hAnsi="Times New Roman" w:cs="Arial"/>
          <w:szCs w:val="26"/>
          <w:lang w:val="fr-FR"/>
        </w:rPr>
        <w:t xml:space="preserve"> ainsi que </w:t>
      </w:r>
      <w:r w:rsidR="003E1417" w:rsidRPr="00717FCB">
        <w:rPr>
          <w:rFonts w:ascii="Times New Roman" w:hAnsi="Times New Roman" w:cs="Arial"/>
          <w:szCs w:val="26"/>
          <w:lang w:val="fr-FR"/>
        </w:rPr>
        <w:t>son format</w:t>
      </w:r>
      <w:r w:rsidR="00356AF3">
        <w:rPr>
          <w:rFonts w:ascii="Times New Roman" w:hAnsi="Times New Roman" w:cs="Arial"/>
          <w:szCs w:val="26"/>
          <w:lang w:val="fr-FR"/>
        </w:rPr>
        <w:t xml:space="preserve"> « en ligne »</w:t>
      </w:r>
      <w:r w:rsidR="003630DA" w:rsidRPr="00717FCB">
        <w:rPr>
          <w:rFonts w:ascii="Times New Roman" w:hAnsi="Times New Roman" w:cs="Arial"/>
          <w:szCs w:val="26"/>
          <w:lang w:val="fr-FR"/>
        </w:rPr>
        <w:t>, et elle a interviewé l</w:t>
      </w:r>
      <w:r>
        <w:rPr>
          <w:rFonts w:ascii="Times New Roman" w:hAnsi="Times New Roman" w:cs="Arial"/>
          <w:szCs w:val="26"/>
          <w:lang w:val="fr-FR"/>
        </w:rPr>
        <w:t>a professeure et quatre</w:t>
      </w:r>
      <w:r w:rsidR="003630DA" w:rsidRPr="00717FCB">
        <w:rPr>
          <w:rFonts w:ascii="Times New Roman" w:hAnsi="Times New Roman" w:cs="Arial"/>
          <w:szCs w:val="26"/>
          <w:lang w:val="fr-FR"/>
        </w:rPr>
        <w:t xml:space="preserve"> étudiants </w:t>
      </w:r>
      <w:r w:rsidR="003E1417" w:rsidRPr="00717FCB">
        <w:rPr>
          <w:rFonts w:ascii="Times New Roman" w:hAnsi="Times New Roman" w:cs="Arial"/>
          <w:szCs w:val="26"/>
          <w:lang w:val="fr-FR"/>
        </w:rPr>
        <w:t>des deux</w:t>
      </w:r>
      <w:r w:rsidR="003630DA" w:rsidRPr="00717FCB">
        <w:rPr>
          <w:rFonts w:ascii="Times New Roman" w:hAnsi="Times New Roman" w:cs="Arial"/>
          <w:szCs w:val="26"/>
          <w:lang w:val="fr-FR"/>
        </w:rPr>
        <w:t xml:space="preserve"> </w:t>
      </w:r>
      <w:r w:rsidR="003E1417" w:rsidRPr="00717FCB">
        <w:rPr>
          <w:rFonts w:ascii="Times New Roman" w:hAnsi="Times New Roman" w:cs="Arial"/>
          <w:szCs w:val="26"/>
          <w:lang w:val="fr-FR"/>
        </w:rPr>
        <w:t>formats</w:t>
      </w:r>
      <w:r w:rsidR="003630DA" w:rsidRPr="00717FCB">
        <w:rPr>
          <w:rFonts w:ascii="Times New Roman" w:hAnsi="Times New Roman" w:cs="Arial"/>
          <w:szCs w:val="26"/>
          <w:lang w:val="fr-FR"/>
        </w:rPr>
        <w:t xml:space="preserve"> du cours. </w:t>
      </w:r>
    </w:p>
    <w:p w:rsidR="003E1417" w:rsidRPr="00717FCB" w:rsidRDefault="003E1417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</w:p>
    <w:p w:rsidR="00D71176" w:rsidRPr="00717FCB" w:rsidRDefault="00846757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  <w:r w:rsidRPr="00717FCB">
        <w:rPr>
          <w:rFonts w:ascii="Times New Roman" w:hAnsi="Times New Roman" w:cs="Arial"/>
          <w:szCs w:val="26"/>
          <w:lang w:val="fr-FR"/>
        </w:rPr>
        <w:t xml:space="preserve">Suite à une analyse approfondie des discours employés par les étudiants vis-à-vis </w:t>
      </w:r>
      <w:r w:rsidR="00717FCB">
        <w:rPr>
          <w:rFonts w:ascii="Times New Roman" w:hAnsi="Times New Roman" w:cs="Arial"/>
          <w:szCs w:val="26"/>
          <w:lang w:val="fr-FR"/>
        </w:rPr>
        <w:t xml:space="preserve">de </w:t>
      </w:r>
      <w:r w:rsidRPr="00717FCB">
        <w:rPr>
          <w:rFonts w:ascii="Times New Roman" w:hAnsi="Times New Roman" w:cs="Arial"/>
          <w:szCs w:val="26"/>
          <w:lang w:val="fr-FR"/>
        </w:rPr>
        <w:t>la stratégie pédagogique du cours et son effet sur leur apprentissage, l’enq</w:t>
      </w:r>
      <w:r w:rsidR="00717FCB">
        <w:rPr>
          <w:rFonts w:ascii="Times New Roman" w:hAnsi="Times New Roman" w:cs="Arial"/>
          <w:szCs w:val="26"/>
          <w:lang w:val="fr-FR"/>
        </w:rPr>
        <w:t>u</w:t>
      </w:r>
      <w:r w:rsidRPr="00717FCB">
        <w:rPr>
          <w:rFonts w:ascii="Times New Roman" w:hAnsi="Times New Roman" w:cs="Arial"/>
          <w:szCs w:val="26"/>
          <w:lang w:val="fr-FR"/>
        </w:rPr>
        <w:t xml:space="preserve">ête </w:t>
      </w:r>
      <w:r w:rsidR="00A96CB7">
        <w:rPr>
          <w:rFonts w:ascii="Times New Roman" w:hAnsi="Times New Roman" w:cs="Arial"/>
          <w:szCs w:val="26"/>
          <w:lang w:val="fr-FR"/>
        </w:rPr>
        <w:t>a fait émerger</w:t>
      </w:r>
      <w:r w:rsidR="00A25367" w:rsidRPr="00717FCB">
        <w:rPr>
          <w:rFonts w:ascii="Times New Roman" w:hAnsi="Times New Roman" w:cs="Arial"/>
          <w:szCs w:val="26"/>
          <w:lang w:val="fr-FR"/>
        </w:rPr>
        <w:t xml:space="preserve"> une question importante:</w:t>
      </w:r>
      <w:r w:rsidR="00CC54A1">
        <w:rPr>
          <w:rFonts w:ascii="Times New Roman" w:hAnsi="Times New Roman" w:cs="Arial"/>
          <w:szCs w:val="26"/>
          <w:lang w:val="fr-FR"/>
        </w:rPr>
        <w:t xml:space="preserve"> en ce qui concerne la qualité</w:t>
      </w:r>
      <w:r w:rsidR="00A25367" w:rsidRPr="00717FCB">
        <w:rPr>
          <w:rFonts w:ascii="Times New Roman" w:hAnsi="Times New Roman" w:cs="Arial"/>
          <w:szCs w:val="26"/>
          <w:lang w:val="fr-FR"/>
        </w:rPr>
        <w:t xml:space="preserve"> de l’apprentissage, à qui est-ce qu’on demande</w:t>
      </w:r>
      <w:r w:rsidR="00A96CB7">
        <w:rPr>
          <w:rFonts w:ascii="Times New Roman" w:hAnsi="Times New Roman" w:cs="Arial"/>
          <w:szCs w:val="26"/>
          <w:lang w:val="fr-FR"/>
        </w:rPr>
        <w:t xml:space="preserve"> </w:t>
      </w:r>
      <w:r w:rsidR="00A25367" w:rsidRPr="00717FCB">
        <w:rPr>
          <w:rFonts w:ascii="Times New Roman" w:hAnsi="Times New Roman" w:cs="Arial"/>
          <w:szCs w:val="26"/>
          <w:lang w:val="fr-FR"/>
        </w:rPr>
        <w:t>? Q</w:t>
      </w:r>
      <w:r w:rsidR="00356AF3">
        <w:rPr>
          <w:rFonts w:ascii="Times New Roman" w:hAnsi="Times New Roman" w:cs="Arial"/>
          <w:szCs w:val="26"/>
          <w:lang w:val="fr-FR"/>
        </w:rPr>
        <w:t>ui peut déterminer « </w:t>
      </w:r>
      <w:r w:rsidR="00CC54A1">
        <w:rPr>
          <w:rFonts w:ascii="Times New Roman" w:hAnsi="Times New Roman" w:cs="Arial"/>
          <w:szCs w:val="26"/>
          <w:lang w:val="fr-FR"/>
        </w:rPr>
        <w:t>la qualité</w:t>
      </w:r>
      <w:r w:rsidR="00356AF3">
        <w:rPr>
          <w:rFonts w:ascii="Times New Roman" w:hAnsi="Times New Roman" w:cs="Arial"/>
          <w:szCs w:val="26"/>
          <w:lang w:val="fr-FR"/>
        </w:rPr>
        <w:t xml:space="preserve"> de l’apprentissage »</w:t>
      </w:r>
      <w:r w:rsidR="00A25367" w:rsidRPr="00717FCB">
        <w:rPr>
          <w:rFonts w:ascii="Times New Roman" w:hAnsi="Times New Roman" w:cs="Arial"/>
          <w:szCs w:val="26"/>
          <w:lang w:val="fr-FR"/>
        </w:rPr>
        <w:t>, et qui finit par définir ce</w:t>
      </w:r>
      <w:r w:rsidR="00D72E6F">
        <w:rPr>
          <w:rFonts w:ascii="Times New Roman" w:hAnsi="Times New Roman" w:cs="Arial"/>
          <w:szCs w:val="26"/>
          <w:lang w:val="fr-FR"/>
        </w:rPr>
        <w:t xml:space="preserve"> qui peut être considéré</w:t>
      </w:r>
      <w:r w:rsidR="00356AF3">
        <w:rPr>
          <w:rFonts w:ascii="Times New Roman" w:hAnsi="Times New Roman" w:cs="Arial"/>
          <w:szCs w:val="26"/>
          <w:lang w:val="fr-FR"/>
        </w:rPr>
        <w:t xml:space="preserve"> comme « </w:t>
      </w:r>
      <w:r w:rsidR="00CC54A1">
        <w:rPr>
          <w:rFonts w:ascii="Times New Roman" w:hAnsi="Times New Roman" w:cs="Arial"/>
          <w:szCs w:val="26"/>
          <w:lang w:val="fr-FR"/>
        </w:rPr>
        <w:t>de bonne qualité</w:t>
      </w:r>
      <w:r w:rsidR="00356AF3">
        <w:rPr>
          <w:rFonts w:ascii="Times New Roman" w:hAnsi="Times New Roman" w:cs="Arial"/>
          <w:szCs w:val="26"/>
          <w:lang w:val="fr-FR"/>
        </w:rPr>
        <w:t> »</w:t>
      </w:r>
      <w:r w:rsidR="00C61E77" w:rsidRPr="00717FCB">
        <w:rPr>
          <w:rFonts w:ascii="Times New Roman" w:hAnsi="Times New Roman" w:cs="Arial"/>
          <w:szCs w:val="26"/>
          <w:lang w:val="fr-FR"/>
        </w:rPr>
        <w:t>? Un-e</w:t>
      </w:r>
      <w:r w:rsidR="00A25367" w:rsidRPr="00717FCB">
        <w:rPr>
          <w:rFonts w:ascii="Times New Roman" w:hAnsi="Times New Roman" w:cs="Arial"/>
          <w:szCs w:val="26"/>
          <w:lang w:val="fr-FR"/>
        </w:rPr>
        <w:t xml:space="preserve"> professeur</w:t>
      </w:r>
      <w:r w:rsidR="00C61E77" w:rsidRPr="00717FCB">
        <w:rPr>
          <w:rFonts w:ascii="Times New Roman" w:hAnsi="Times New Roman" w:cs="Arial"/>
          <w:szCs w:val="26"/>
          <w:lang w:val="fr-FR"/>
        </w:rPr>
        <w:t>-e</w:t>
      </w:r>
      <w:r w:rsidR="00A25367" w:rsidRPr="00717FCB">
        <w:rPr>
          <w:rFonts w:ascii="Times New Roman" w:hAnsi="Times New Roman" w:cs="Arial"/>
          <w:szCs w:val="26"/>
          <w:lang w:val="fr-FR"/>
        </w:rPr>
        <w:t xml:space="preserve"> choisit sa stratégie pédagogique pour le bien des étudiants, mais, selon les étudiants </w:t>
      </w:r>
      <w:r w:rsidR="00984EBB">
        <w:rPr>
          <w:rFonts w:ascii="Times New Roman" w:hAnsi="Times New Roman" w:cs="Arial"/>
          <w:szCs w:val="26"/>
          <w:lang w:val="fr-FR"/>
        </w:rPr>
        <w:t>inscrits dans ce cours, il</w:t>
      </w:r>
      <w:r w:rsidR="00C61E77" w:rsidRPr="00717FCB">
        <w:rPr>
          <w:rFonts w:ascii="Times New Roman" w:hAnsi="Times New Roman" w:cs="Arial"/>
          <w:szCs w:val="26"/>
          <w:lang w:val="fr-FR"/>
        </w:rPr>
        <w:t xml:space="preserve"> n’est pas garanti que les étudiants soient d’a</w:t>
      </w:r>
      <w:r w:rsidR="00717FCB">
        <w:rPr>
          <w:rFonts w:ascii="Times New Roman" w:hAnsi="Times New Roman" w:cs="Arial"/>
          <w:szCs w:val="26"/>
          <w:lang w:val="fr-FR"/>
        </w:rPr>
        <w:t>ccord avec leur professeur-e à</w:t>
      </w:r>
      <w:r w:rsidR="00C61E77" w:rsidRPr="00717FCB">
        <w:rPr>
          <w:rFonts w:ascii="Times New Roman" w:hAnsi="Times New Roman" w:cs="Arial"/>
          <w:szCs w:val="26"/>
          <w:lang w:val="fr-FR"/>
        </w:rPr>
        <w:t xml:space="preserve"> cet égard.</w:t>
      </w:r>
    </w:p>
    <w:p w:rsidR="00CC54A1" w:rsidRDefault="00CC54A1" w:rsidP="00D711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</w:p>
    <w:p w:rsidR="00356AF3" w:rsidRDefault="0057307F" w:rsidP="005730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szCs w:val="26"/>
          <w:lang w:val="fr-FR"/>
        </w:rPr>
      </w:pPr>
      <w:r>
        <w:rPr>
          <w:rFonts w:ascii="Times New Roman" w:hAnsi="Times New Roman" w:cs="Arial"/>
          <w:szCs w:val="26"/>
          <w:lang w:val="fr-FR"/>
        </w:rPr>
        <w:t>Traitement de la question transversale</w:t>
      </w:r>
      <w:r w:rsidR="00B87558">
        <w:rPr>
          <w:rFonts w:ascii="Times New Roman" w:hAnsi="Times New Roman" w:cs="Arial"/>
          <w:szCs w:val="26"/>
          <w:lang w:val="fr-FR"/>
        </w:rPr>
        <w:t> :</w:t>
      </w:r>
      <w:r>
        <w:rPr>
          <w:rFonts w:ascii="Times New Roman" w:hAnsi="Times New Roman" w:cs="Arial"/>
          <w:szCs w:val="26"/>
          <w:lang w:val="fr-FR"/>
        </w:rPr>
        <w:t xml:space="preserve"> l</w:t>
      </w:r>
      <w:r w:rsidR="00DB2C46">
        <w:rPr>
          <w:rFonts w:ascii="Times New Roman" w:hAnsi="Times New Roman" w:cs="Arial"/>
          <w:szCs w:val="26"/>
          <w:lang w:val="fr-FR"/>
        </w:rPr>
        <w:t xml:space="preserve">es questions de recherche pour cette enquête </w:t>
      </w:r>
      <w:r>
        <w:rPr>
          <w:rFonts w:ascii="Times New Roman" w:hAnsi="Times New Roman" w:cs="Arial"/>
          <w:szCs w:val="26"/>
          <w:lang w:val="fr-FR"/>
        </w:rPr>
        <w:t>ont été formulées dans le contexte</w:t>
      </w:r>
      <w:r w:rsidR="00DB2C46">
        <w:rPr>
          <w:rFonts w:ascii="Times New Roman" w:hAnsi="Times New Roman" w:cs="Arial"/>
          <w:szCs w:val="26"/>
          <w:lang w:val="fr-FR"/>
        </w:rPr>
        <w:t xml:space="preserve"> de l’enseignement supérieur en Grand Bretagne, où l’avis des étudiants sur la qualité de l’éducation qu’ils reçoivent devient de plus en plus importan</w:t>
      </w:r>
      <w:r w:rsidR="00356AF3">
        <w:rPr>
          <w:rFonts w:ascii="Times New Roman" w:hAnsi="Times New Roman" w:cs="Arial"/>
          <w:szCs w:val="26"/>
          <w:lang w:val="fr-FR"/>
        </w:rPr>
        <w:t>t dans l’évaluation des cursus, par moyen</w:t>
      </w:r>
      <w:r>
        <w:rPr>
          <w:rFonts w:ascii="Times New Roman" w:hAnsi="Times New Roman" w:cs="Arial"/>
          <w:szCs w:val="26"/>
          <w:lang w:val="fr-FR"/>
        </w:rPr>
        <w:t xml:space="preserve"> d’un sondage national qui a</w:t>
      </w:r>
      <w:bookmarkStart w:id="0" w:name="_GoBack"/>
      <w:bookmarkEnd w:id="0"/>
      <w:r w:rsidR="00356AF3">
        <w:rPr>
          <w:rFonts w:ascii="Times New Roman" w:hAnsi="Times New Roman" w:cs="Arial"/>
          <w:szCs w:val="26"/>
          <w:lang w:val="fr-FR"/>
        </w:rPr>
        <w:t xml:space="preserve"> lieu chaque année. Cette enquête a alors pris en compte l’importance d’établir les différences d’opinion entre enseignant-e et enseigné-e sur ce qui compte comme « qualité ». </w:t>
      </w:r>
    </w:p>
    <w:p w:rsidR="00D71176" w:rsidRPr="00717FCB" w:rsidRDefault="00D71176" w:rsidP="00D71176">
      <w:pPr>
        <w:spacing w:after="0"/>
        <w:rPr>
          <w:rFonts w:ascii="Times New Roman" w:hAnsi="Times New Roman" w:cs="Verdana"/>
          <w:szCs w:val="26"/>
          <w:lang w:val="fr-FR"/>
        </w:rPr>
      </w:pPr>
    </w:p>
    <w:p w:rsidR="001E2596" w:rsidRPr="003E1417" w:rsidRDefault="00D71176" w:rsidP="00D71176">
      <w:pPr>
        <w:spacing w:after="0"/>
        <w:rPr>
          <w:rFonts w:ascii="Times New Roman" w:hAnsi="Times New Roman" w:cs="Verdana"/>
          <w:b/>
          <w:szCs w:val="26"/>
        </w:rPr>
      </w:pPr>
      <w:r w:rsidRPr="003E1417">
        <w:rPr>
          <w:rFonts w:ascii="Times New Roman" w:hAnsi="Times New Roman" w:cs="Verdana"/>
          <w:b/>
          <w:szCs w:val="26"/>
        </w:rPr>
        <w:t>Références bibliographiques</w:t>
      </w:r>
    </w:p>
    <w:p w:rsidR="001E2596" w:rsidRPr="003E1417" w:rsidRDefault="001E2596" w:rsidP="001E2596">
      <w:pPr>
        <w:widowControl w:val="0"/>
        <w:autoSpaceDE w:val="0"/>
        <w:autoSpaceDN w:val="0"/>
        <w:adjustRightInd w:val="0"/>
        <w:spacing w:after="0"/>
        <w:ind w:left="720" w:right="-720" w:hanging="720"/>
        <w:rPr>
          <w:rFonts w:ascii="Times New Roman" w:hAnsi="Times New Roman" w:cs="Helvetica"/>
        </w:rPr>
      </w:pPr>
      <w:r w:rsidRPr="003E1417">
        <w:rPr>
          <w:rFonts w:ascii="Times New Roman" w:hAnsi="Times New Roman" w:cs="Helvetica"/>
        </w:rPr>
        <w:t xml:space="preserve">Burke, P. J., Crozier, G., Read, B., Hall, J., Peat, J. and Francis, B. (2013). </w:t>
      </w:r>
      <w:r w:rsidRPr="003E1417">
        <w:rPr>
          <w:rFonts w:ascii="Times New Roman" w:hAnsi="Times New Roman" w:cs="Helvetica"/>
          <w:i/>
          <w:iCs/>
        </w:rPr>
        <w:t>Formations of Gender and Higher Education Pedagogies (GaP)</w:t>
      </w:r>
      <w:r w:rsidRPr="003E1417">
        <w:rPr>
          <w:rFonts w:ascii="Times New Roman" w:hAnsi="Times New Roman" w:cs="Helvetica"/>
        </w:rPr>
        <w:t>. London: University of Roehampton &amp; The Higher Education Academy.</w:t>
      </w:r>
    </w:p>
    <w:p w:rsidR="0072512E" w:rsidRPr="003E1417" w:rsidRDefault="0072512E" w:rsidP="0072512E">
      <w:pPr>
        <w:widowControl w:val="0"/>
        <w:autoSpaceDE w:val="0"/>
        <w:autoSpaceDN w:val="0"/>
        <w:adjustRightInd w:val="0"/>
        <w:spacing w:after="0"/>
        <w:ind w:left="720" w:right="-720" w:hanging="720"/>
        <w:rPr>
          <w:rFonts w:ascii="Times New Roman" w:hAnsi="Times New Roman" w:cs="Helvetica"/>
        </w:rPr>
      </w:pPr>
      <w:r w:rsidRPr="003E1417">
        <w:rPr>
          <w:rFonts w:ascii="Times New Roman" w:hAnsi="Times New Roman" w:cs="Helvetica"/>
        </w:rPr>
        <w:t xml:space="preserve">Crabtree, R., Sapp, D. A. and Licona, A. C., eds. (2009). </w:t>
      </w:r>
      <w:r w:rsidRPr="003E1417">
        <w:rPr>
          <w:rFonts w:ascii="Times New Roman" w:hAnsi="Times New Roman" w:cs="Helvetica"/>
          <w:i/>
          <w:iCs/>
        </w:rPr>
        <w:t>Feminist pedagogy: Looking back to move forward</w:t>
      </w:r>
      <w:r w:rsidRPr="003E1417">
        <w:rPr>
          <w:rFonts w:ascii="Times New Roman" w:hAnsi="Times New Roman" w:cs="Helvetica"/>
        </w:rPr>
        <w:t>. Baltimore, Md.: Johns Hopkins University Press.</w:t>
      </w:r>
    </w:p>
    <w:p w:rsidR="00E45E20" w:rsidRPr="003E1417" w:rsidRDefault="00E45E20" w:rsidP="00E45E20">
      <w:pPr>
        <w:widowControl w:val="0"/>
        <w:autoSpaceDE w:val="0"/>
        <w:autoSpaceDN w:val="0"/>
        <w:adjustRightInd w:val="0"/>
        <w:spacing w:after="0"/>
        <w:ind w:left="720" w:right="-720" w:hanging="720"/>
        <w:rPr>
          <w:rFonts w:ascii="Times New Roman" w:hAnsi="Times New Roman" w:cs="Helvetica"/>
        </w:rPr>
      </w:pPr>
      <w:r w:rsidRPr="003E1417">
        <w:rPr>
          <w:rFonts w:ascii="Times New Roman" w:hAnsi="Times New Roman" w:cs="Helvetica"/>
        </w:rPr>
        <w:t xml:space="preserve">Lubelska, C. (1991). 'Teaching Methods in Women's Studies: Challenging the Mainstream'. In J. Aaron and S. Walby (Eds), </w:t>
      </w:r>
      <w:r w:rsidR="0072512E" w:rsidRPr="003E1417">
        <w:rPr>
          <w:rFonts w:ascii="Times New Roman" w:hAnsi="Times New Roman" w:cs="Helvetica"/>
          <w:i/>
          <w:iCs/>
        </w:rPr>
        <w:t>Out of the margins</w:t>
      </w:r>
      <w:r w:rsidRPr="003E1417">
        <w:rPr>
          <w:rFonts w:ascii="Times New Roman" w:hAnsi="Times New Roman" w:cs="Helvetica"/>
          <w:i/>
          <w:iCs/>
        </w:rPr>
        <w:t>: women's studies in the nineties</w:t>
      </w:r>
      <w:r w:rsidRPr="003E1417">
        <w:rPr>
          <w:rFonts w:ascii="Times New Roman" w:hAnsi="Times New Roman" w:cs="Helvetica"/>
        </w:rPr>
        <w:t xml:space="preserve"> (pp. 41-48). London: Falmer Press.</w:t>
      </w:r>
    </w:p>
    <w:p w:rsidR="00BE6A17" w:rsidRPr="003E1417" w:rsidRDefault="00BE6A17" w:rsidP="00BE6A17">
      <w:pPr>
        <w:widowControl w:val="0"/>
        <w:autoSpaceDE w:val="0"/>
        <w:autoSpaceDN w:val="0"/>
        <w:adjustRightInd w:val="0"/>
        <w:spacing w:after="0"/>
        <w:ind w:left="720" w:right="-720" w:hanging="720"/>
        <w:rPr>
          <w:rFonts w:ascii="Times New Roman" w:hAnsi="Times New Roman" w:cs="Helvetica"/>
        </w:rPr>
      </w:pPr>
      <w:r w:rsidRPr="003E1417">
        <w:rPr>
          <w:rFonts w:ascii="Times New Roman" w:hAnsi="Times New Roman" w:cs="Helvetica"/>
        </w:rPr>
        <w:t xml:space="preserve">Madoc-Jones, B. (1997). 'Women's experiences: whose knowledge is it?'. In F. Montgomery and C. Collette (Eds), </w:t>
      </w:r>
      <w:r w:rsidRPr="003E1417">
        <w:rPr>
          <w:rFonts w:ascii="Times New Roman" w:hAnsi="Times New Roman" w:cs="Helvetica"/>
          <w:i/>
          <w:iCs/>
        </w:rPr>
        <w:t>Into the melting pot : teaching women's studies in the new millennium</w:t>
      </w:r>
      <w:r w:rsidRPr="003E1417">
        <w:rPr>
          <w:rFonts w:ascii="Times New Roman" w:hAnsi="Times New Roman" w:cs="Helvetica"/>
        </w:rPr>
        <w:t xml:space="preserve"> (pp. 13-21). Aldershot: Ashgate.</w:t>
      </w:r>
    </w:p>
    <w:p w:rsidR="00BE6A17" w:rsidRPr="003E1417" w:rsidRDefault="00BE6A17" w:rsidP="00BE6A17">
      <w:pPr>
        <w:widowControl w:val="0"/>
        <w:autoSpaceDE w:val="0"/>
        <w:autoSpaceDN w:val="0"/>
        <w:adjustRightInd w:val="0"/>
        <w:spacing w:after="0"/>
        <w:ind w:left="720" w:right="-720" w:hanging="720"/>
        <w:rPr>
          <w:rFonts w:ascii="Times New Roman" w:hAnsi="Times New Roman" w:cs="Helvetica"/>
        </w:rPr>
      </w:pPr>
      <w:r w:rsidRPr="003E1417">
        <w:rPr>
          <w:rFonts w:ascii="Times New Roman" w:hAnsi="Times New Roman" w:cs="Helvetica"/>
        </w:rPr>
        <w:t xml:space="preserve">McNeil, M. (1992). 'Pedagogical Praxis and Problems: Reflections on Teaching about Gender Relations'. In H. Hinds, A. Phoenix and J. Stacey (Eds), </w:t>
      </w:r>
      <w:r w:rsidRPr="003E1417">
        <w:rPr>
          <w:rFonts w:ascii="Times New Roman" w:hAnsi="Times New Roman" w:cs="Helvetica"/>
          <w:i/>
          <w:iCs/>
        </w:rPr>
        <w:t>Working out : new directions for women's studies</w:t>
      </w:r>
      <w:r w:rsidRPr="003E1417">
        <w:rPr>
          <w:rFonts w:ascii="Times New Roman" w:hAnsi="Times New Roman" w:cs="Helvetica"/>
        </w:rPr>
        <w:t xml:space="preserve"> (pp. 19-28). London: Falmer.</w:t>
      </w:r>
    </w:p>
    <w:p w:rsidR="00AA6C33" w:rsidRPr="003E1417" w:rsidRDefault="00AA6C33" w:rsidP="00AA6C33">
      <w:pPr>
        <w:widowControl w:val="0"/>
        <w:autoSpaceDE w:val="0"/>
        <w:autoSpaceDN w:val="0"/>
        <w:adjustRightInd w:val="0"/>
        <w:spacing w:after="0"/>
        <w:ind w:left="720" w:right="-720" w:hanging="720"/>
        <w:rPr>
          <w:rFonts w:ascii="Times New Roman" w:hAnsi="Times New Roman" w:cs="Helvetica"/>
        </w:rPr>
      </w:pPr>
      <w:r w:rsidRPr="003E1417">
        <w:rPr>
          <w:rFonts w:ascii="Times New Roman" w:hAnsi="Times New Roman" w:cs="Helvetica"/>
        </w:rPr>
        <w:t xml:space="preserve">Walker, M. (2006). </w:t>
      </w:r>
      <w:r w:rsidR="0072512E" w:rsidRPr="003E1417">
        <w:rPr>
          <w:rFonts w:ascii="Times New Roman" w:hAnsi="Times New Roman" w:cs="Helvetica"/>
          <w:i/>
          <w:iCs/>
        </w:rPr>
        <w:t>Higher education pedagogies: a</w:t>
      </w:r>
      <w:r w:rsidRPr="003E1417">
        <w:rPr>
          <w:rFonts w:ascii="Times New Roman" w:hAnsi="Times New Roman" w:cs="Helvetica"/>
          <w:i/>
          <w:iCs/>
        </w:rPr>
        <w:t xml:space="preserve"> capabilities approach</w:t>
      </w:r>
      <w:r w:rsidRPr="003E1417">
        <w:rPr>
          <w:rFonts w:ascii="Times New Roman" w:hAnsi="Times New Roman" w:cs="Helvetica"/>
        </w:rPr>
        <w:t>. Maidenhead: Society for Research into Higher Education and Open UP.</w:t>
      </w:r>
    </w:p>
    <w:p w:rsidR="00551E4A" w:rsidRPr="003E1417" w:rsidRDefault="00551E4A" w:rsidP="00551E4A">
      <w:pPr>
        <w:widowControl w:val="0"/>
        <w:autoSpaceDE w:val="0"/>
        <w:autoSpaceDN w:val="0"/>
        <w:adjustRightInd w:val="0"/>
        <w:spacing w:after="0"/>
        <w:ind w:left="720" w:right="-720" w:hanging="720"/>
        <w:rPr>
          <w:rFonts w:ascii="Times New Roman" w:hAnsi="Times New Roman" w:cs="Helvetica"/>
        </w:rPr>
      </w:pPr>
      <w:r w:rsidRPr="003E1417">
        <w:rPr>
          <w:rFonts w:ascii="Times New Roman" w:hAnsi="Times New Roman" w:cs="Helvetica"/>
        </w:rPr>
        <w:t xml:space="preserve">Weiner, G. (2006). 'Out of the Ruins: Feminist Pedagogy in Recovery'. In C. Skelton, B. Francis, L. Smulyan, D. Leonard and E. Unterhalter (Eds), </w:t>
      </w:r>
      <w:r w:rsidRPr="003E1417">
        <w:rPr>
          <w:rFonts w:ascii="Times New Roman" w:hAnsi="Times New Roman" w:cs="Helvetica"/>
          <w:i/>
          <w:iCs/>
        </w:rPr>
        <w:t>The SAGE handbook of gender and education</w:t>
      </w:r>
      <w:r w:rsidRPr="003E1417">
        <w:rPr>
          <w:rFonts w:ascii="Times New Roman" w:hAnsi="Times New Roman" w:cs="Helvetica"/>
        </w:rPr>
        <w:t xml:space="preserve"> (pp. 79-92). London: Sage.</w:t>
      </w:r>
    </w:p>
    <w:p w:rsidR="00A25367" w:rsidRPr="003E1417" w:rsidRDefault="00A25367" w:rsidP="00D71176">
      <w:pPr>
        <w:spacing w:after="0"/>
        <w:rPr>
          <w:rFonts w:ascii="Times New Roman" w:hAnsi="Times New Roman"/>
          <w:b/>
        </w:rPr>
      </w:pPr>
    </w:p>
    <w:sectPr w:rsidR="00A25367" w:rsidRPr="003E1417" w:rsidSect="00D71176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502EA"/>
    <w:rsid w:val="000502EA"/>
    <w:rsid w:val="00113729"/>
    <w:rsid w:val="001629D1"/>
    <w:rsid w:val="0016652E"/>
    <w:rsid w:val="001E2596"/>
    <w:rsid w:val="00254E71"/>
    <w:rsid w:val="00273863"/>
    <w:rsid w:val="002B7E5C"/>
    <w:rsid w:val="00356AF3"/>
    <w:rsid w:val="003630DA"/>
    <w:rsid w:val="003E1417"/>
    <w:rsid w:val="00420C03"/>
    <w:rsid w:val="004B7EC2"/>
    <w:rsid w:val="00534489"/>
    <w:rsid w:val="00551E4A"/>
    <w:rsid w:val="0057307F"/>
    <w:rsid w:val="00637A8E"/>
    <w:rsid w:val="00651C7E"/>
    <w:rsid w:val="006E166E"/>
    <w:rsid w:val="006E18EB"/>
    <w:rsid w:val="00717FCB"/>
    <w:rsid w:val="0072512E"/>
    <w:rsid w:val="00772A86"/>
    <w:rsid w:val="00846757"/>
    <w:rsid w:val="00863804"/>
    <w:rsid w:val="00872762"/>
    <w:rsid w:val="00894A19"/>
    <w:rsid w:val="008B3EC9"/>
    <w:rsid w:val="00933338"/>
    <w:rsid w:val="00984EBB"/>
    <w:rsid w:val="009A6CDE"/>
    <w:rsid w:val="00A25367"/>
    <w:rsid w:val="00A96CB7"/>
    <w:rsid w:val="00AA6C33"/>
    <w:rsid w:val="00B87558"/>
    <w:rsid w:val="00BE6A17"/>
    <w:rsid w:val="00C24254"/>
    <w:rsid w:val="00C251BF"/>
    <w:rsid w:val="00C61E77"/>
    <w:rsid w:val="00CC54A1"/>
    <w:rsid w:val="00D65E02"/>
    <w:rsid w:val="00D71176"/>
    <w:rsid w:val="00D72E6F"/>
    <w:rsid w:val="00DB2C46"/>
    <w:rsid w:val="00E45E20"/>
    <w:rsid w:val="00EA4C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65"/>
  </w:style>
  <w:style w:type="paragraph" w:styleId="Titre1">
    <w:name w:val="heading 1"/>
    <w:basedOn w:val="Normal"/>
    <w:next w:val="Normal"/>
    <w:link w:val="Titre1Car"/>
    <w:rsid w:val="00F33A3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3A3C"/>
    <w:rPr>
      <w:rFonts w:ascii="Times New Roman" w:eastAsiaTheme="majorEastAsia" w:hAnsi="Times New Roman" w:cstheme="majorBidi"/>
      <w:b/>
      <w:bCs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C251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762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76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henderson@warwick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Henderson</dc:creator>
  <cp:keywords/>
  <cp:lastModifiedBy>Laurent Cosnefroy</cp:lastModifiedBy>
  <cp:revision>4</cp:revision>
  <dcterms:created xsi:type="dcterms:W3CDTF">2016-01-08T12:23:00Z</dcterms:created>
  <dcterms:modified xsi:type="dcterms:W3CDTF">2016-01-10T19:51:00Z</dcterms:modified>
</cp:coreProperties>
</file>